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54E5" w14:textId="77777777" w:rsidR="001676BD" w:rsidRDefault="0000001E" w:rsidP="001676BD">
      <w:pPr>
        <w:pStyle w:val="Heading1"/>
      </w:pPr>
      <w:r>
        <w:t>Senior Communications Advisor</w:t>
      </w:r>
    </w:p>
    <w:p w14:paraId="2D7B54E6" w14:textId="257C9A56" w:rsidR="001676BD" w:rsidRPr="001676BD" w:rsidRDefault="6657278C" w:rsidP="001676BD">
      <w:pPr>
        <w:pStyle w:val="Heading2"/>
      </w:pPr>
      <w:r>
        <w:t>Communications Group, Organisational Capability and Services Branch</w:t>
      </w:r>
    </w:p>
    <w:p w14:paraId="2D7B54E7" w14:textId="77777777" w:rsidR="001676BD" w:rsidRPr="00267EDC" w:rsidRDefault="005C1C48" w:rsidP="00267EDC">
      <w:r>
        <w:t xml:space="preserve">The Senior Communications Advisor </w:t>
      </w:r>
      <w:r w:rsidR="00FD0EDB">
        <w:t xml:space="preserve">is responsible for </w:t>
      </w:r>
      <w:r>
        <w:t>develop</w:t>
      </w:r>
      <w:r w:rsidR="00FD0EDB">
        <w:t>ing</w:t>
      </w:r>
      <w:r>
        <w:t xml:space="preserve"> a deep understanding and knowledge of </w:t>
      </w:r>
      <w:r w:rsidRPr="005C1C48">
        <w:t>the business and operations of the branch</w:t>
      </w:r>
      <w:r w:rsidR="00012D48">
        <w:t>/portfolio</w:t>
      </w:r>
      <w:r w:rsidR="00ED2D91">
        <w:t>,</w:t>
      </w:r>
      <w:r w:rsidRPr="005C1C48">
        <w:t xml:space="preserve"> including its strategic plans and objectives, </w:t>
      </w:r>
      <w:proofErr w:type="gramStart"/>
      <w:r w:rsidRPr="005C1C48">
        <w:t>in order to</w:t>
      </w:r>
      <w:proofErr w:type="gramEnd"/>
      <w:r w:rsidR="00B61E8D">
        <w:t xml:space="preserve"> provide</w:t>
      </w:r>
      <w:r w:rsidRPr="005C1C48">
        <w:t xml:space="preserve"> </w:t>
      </w:r>
      <w:r w:rsidR="007536FF">
        <w:t>communications</w:t>
      </w:r>
      <w:r w:rsidR="00B61E8D">
        <w:t xml:space="preserve"> </w:t>
      </w:r>
      <w:r w:rsidRPr="005C1C48">
        <w:t>advice</w:t>
      </w:r>
      <w:r w:rsidR="007536FF">
        <w:t xml:space="preserve"> and to develop</w:t>
      </w:r>
      <w:r w:rsidRPr="005C1C48">
        <w:t xml:space="preserve"> </w:t>
      </w:r>
      <w:r w:rsidR="007536FF">
        <w:t>and deliver</w:t>
      </w:r>
      <w:r w:rsidR="00B61E8D">
        <w:t xml:space="preserve"> </w:t>
      </w:r>
      <w:r w:rsidRPr="005C1C48">
        <w:t>communications plans and activities that support achievement of business objectives</w:t>
      </w:r>
      <w:r w:rsidR="00012D48">
        <w:t>.</w:t>
      </w:r>
    </w:p>
    <w:p w14:paraId="2D7B54E8"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8E0B2A">
        <w:t>Communications Manager</w:t>
      </w:r>
    </w:p>
    <w:p w14:paraId="2D7B54E9" w14:textId="77777777" w:rsidR="001676BD" w:rsidRPr="005A2652" w:rsidRDefault="001676BD" w:rsidP="001676BD">
      <w:pPr>
        <w:pStyle w:val="Bullethighlighted"/>
        <w:rPr>
          <w:rStyle w:val="BullethighlightedChar"/>
        </w:rPr>
      </w:pPr>
      <w:r w:rsidRPr="00285621">
        <w:t>Location:</w:t>
      </w:r>
      <w:r>
        <w:t xml:space="preserve"> </w:t>
      </w:r>
      <w:r w:rsidR="008E0B2A">
        <w:rPr>
          <w:b w:val="0"/>
          <w:color w:val="auto"/>
        </w:rPr>
        <w:t>Wellington</w:t>
      </w:r>
    </w:p>
    <w:p w14:paraId="2D7B54EA"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003ED3">
        <w:t>Corporate H</w:t>
      </w:r>
    </w:p>
    <w:p w14:paraId="2D7B54EB"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2D7B54EC" w14:textId="77777777" w:rsidR="005D6013" w:rsidRPr="00285621" w:rsidRDefault="00BF0C5F" w:rsidP="00285621">
      <w:r w:rsidRPr="00285621">
        <w:t>Our purpose is t</w:t>
      </w:r>
      <w:r w:rsidR="001676BD" w:rsidRPr="00285621">
        <w:t xml:space="preserve">o serve and connect people, </w:t>
      </w:r>
      <w:proofErr w:type="gramStart"/>
      <w:r w:rsidR="001676BD" w:rsidRPr="00285621">
        <w:t>communities</w:t>
      </w:r>
      <w:proofErr w:type="gramEnd"/>
      <w:r w:rsidR="001676BD" w:rsidRPr="00285621">
        <w:t xml:space="preserve"> and government to build a safe, prosperous and respected nation.</w:t>
      </w:r>
    </w:p>
    <w:p w14:paraId="2D7B54ED" w14:textId="77777777" w:rsidR="001676BD" w:rsidRPr="00285621" w:rsidRDefault="00BF0C5F" w:rsidP="00285621">
      <w:r w:rsidRPr="00285621">
        <w:t>In other words, it’s all about helping to make New Zealand better for New Zealanders.</w:t>
      </w:r>
    </w:p>
    <w:p w14:paraId="2D7B54EE"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2D7B54F3" w14:textId="77777777" w:rsidTr="006336F1">
        <w:tc>
          <w:tcPr>
            <w:tcW w:w="1701" w:type="dxa"/>
            <w:vMerge w:val="restart"/>
          </w:tcPr>
          <w:p w14:paraId="2D7B54EF" w14:textId="77777777" w:rsidR="0046587F" w:rsidRDefault="0046587F" w:rsidP="0046587F">
            <w:pPr>
              <w:pStyle w:val="Tablenormal0"/>
              <w:ind w:left="-108"/>
            </w:pPr>
            <w:r>
              <w:rPr>
                <w:noProof/>
                <w:lang w:eastAsia="en-NZ"/>
              </w:rPr>
              <w:drawing>
                <wp:inline distT="0" distB="0" distL="0" distR="0" wp14:anchorId="2D7B55B3" wp14:editId="2D7B55B4">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D7B54F0" w14:textId="77777777" w:rsidR="0046587F" w:rsidRPr="00DA62E8" w:rsidRDefault="0046587F" w:rsidP="00DA62E8">
            <w:pPr>
              <w:pStyle w:val="Heading3"/>
            </w:pPr>
            <w:r w:rsidRPr="00DA62E8">
              <w:t xml:space="preserve">We make it </w:t>
            </w:r>
            <w:proofErr w:type="gramStart"/>
            <w:r w:rsidRPr="00DA62E8">
              <w:t>easy,</w:t>
            </w:r>
            <w:proofErr w:type="gramEnd"/>
            <w:r w:rsidRPr="00DA62E8">
              <w:t xml:space="preserve"> we make it work </w:t>
            </w:r>
          </w:p>
          <w:p w14:paraId="2D7B54F1" w14:textId="77777777" w:rsidR="0046587F" w:rsidRPr="00DA62E8" w:rsidRDefault="0046587F" w:rsidP="00DA62E8">
            <w:pPr>
              <w:pStyle w:val="Tablebullet"/>
            </w:pPr>
            <w:r w:rsidRPr="00DA62E8">
              <w:t>Customer centred</w:t>
            </w:r>
          </w:p>
          <w:p w14:paraId="2D7B54F2" w14:textId="77777777" w:rsidR="0046587F" w:rsidRPr="00BF0C5F" w:rsidRDefault="0046587F" w:rsidP="00DA62E8">
            <w:pPr>
              <w:pStyle w:val="Tablebullet"/>
            </w:pPr>
            <w:r w:rsidRPr="00DA62E8">
              <w:t>Make things even better</w:t>
            </w:r>
          </w:p>
        </w:tc>
      </w:tr>
      <w:tr w:rsidR="0046587F" w14:paraId="2D7B54F8" w14:textId="77777777" w:rsidTr="006336F1">
        <w:tc>
          <w:tcPr>
            <w:tcW w:w="1701" w:type="dxa"/>
            <w:vMerge/>
          </w:tcPr>
          <w:p w14:paraId="2D7B54F4" w14:textId="77777777" w:rsidR="0046587F" w:rsidRDefault="0046587F" w:rsidP="00DA62E8">
            <w:pPr>
              <w:pStyle w:val="Tablenormal0"/>
            </w:pPr>
          </w:p>
        </w:tc>
        <w:tc>
          <w:tcPr>
            <w:tcW w:w="8557" w:type="dxa"/>
          </w:tcPr>
          <w:p w14:paraId="2D7B54F5" w14:textId="77777777" w:rsidR="0046587F" w:rsidRPr="005D6013" w:rsidRDefault="0046587F" w:rsidP="00DA62E8">
            <w:pPr>
              <w:pStyle w:val="Heading3"/>
            </w:pPr>
            <w:r w:rsidRPr="005D6013">
              <w:t xml:space="preserve">We’re stronger together </w:t>
            </w:r>
          </w:p>
          <w:p w14:paraId="2D7B54F6" w14:textId="77777777" w:rsidR="0046587F" w:rsidRPr="00DA62E8" w:rsidRDefault="0046587F" w:rsidP="00DA62E8">
            <w:pPr>
              <w:pStyle w:val="Tablebullet"/>
            </w:pPr>
            <w:r w:rsidRPr="00DA62E8">
              <w:t>Work as a team</w:t>
            </w:r>
          </w:p>
          <w:p w14:paraId="2D7B54F7" w14:textId="77777777" w:rsidR="0046587F" w:rsidRPr="00BF0C5F" w:rsidRDefault="0046587F" w:rsidP="00DA62E8">
            <w:pPr>
              <w:pStyle w:val="Tablebullet"/>
            </w:pPr>
            <w:r w:rsidRPr="00DA62E8">
              <w:t>Value each other</w:t>
            </w:r>
          </w:p>
        </w:tc>
      </w:tr>
      <w:tr w:rsidR="0046587F" w14:paraId="2D7B54FD" w14:textId="77777777" w:rsidTr="006336F1">
        <w:tc>
          <w:tcPr>
            <w:tcW w:w="1701" w:type="dxa"/>
            <w:vMerge/>
          </w:tcPr>
          <w:p w14:paraId="2D7B54F9" w14:textId="77777777" w:rsidR="0046587F" w:rsidRDefault="0046587F" w:rsidP="00DA62E8">
            <w:pPr>
              <w:pStyle w:val="Tablenormal0"/>
            </w:pPr>
          </w:p>
        </w:tc>
        <w:tc>
          <w:tcPr>
            <w:tcW w:w="8557" w:type="dxa"/>
          </w:tcPr>
          <w:p w14:paraId="2D7B54FA" w14:textId="77777777" w:rsidR="0046587F" w:rsidRPr="005D6013" w:rsidRDefault="0046587F" w:rsidP="00DA62E8">
            <w:pPr>
              <w:pStyle w:val="Heading3"/>
            </w:pPr>
            <w:r w:rsidRPr="005D6013">
              <w:t xml:space="preserve">We take pride in what we do </w:t>
            </w:r>
          </w:p>
          <w:p w14:paraId="2D7B54FB" w14:textId="77777777" w:rsidR="0046587F" w:rsidRPr="00DA62E8" w:rsidRDefault="0046587F" w:rsidP="00DA62E8">
            <w:pPr>
              <w:pStyle w:val="Tablebullet"/>
            </w:pPr>
            <w:r w:rsidRPr="00DA62E8">
              <w:t>Make a positive difference</w:t>
            </w:r>
          </w:p>
          <w:p w14:paraId="2D7B54FC" w14:textId="77777777" w:rsidR="0046587F" w:rsidRPr="00BF0C5F" w:rsidRDefault="0046587F" w:rsidP="00DA62E8">
            <w:pPr>
              <w:pStyle w:val="Tablebullet"/>
            </w:pPr>
            <w:r w:rsidRPr="00DA62E8">
              <w:t>Strive for excellence</w:t>
            </w:r>
          </w:p>
        </w:tc>
      </w:tr>
    </w:tbl>
    <w:p w14:paraId="2D7B54FE" w14:textId="77777777" w:rsidR="00535DF5" w:rsidRPr="00767FB1" w:rsidRDefault="46F8D434" w:rsidP="00285621">
      <w:pPr>
        <w:pStyle w:val="Heading2withoverline"/>
      </w:pPr>
      <w:r>
        <w:t>Working effectively with Māori</w:t>
      </w:r>
    </w:p>
    <w:p w14:paraId="07BE7565" w14:textId="0FBDB0CC" w:rsidR="46F8D434" w:rsidRDefault="46F8D434">
      <w:r w:rsidRPr="46F8D434">
        <w:rPr>
          <w:rFonts w:eastAsia="Calibri" w:cs="Calibri"/>
        </w:rPr>
        <w:t xml:space="preserve">Te Aka </w:t>
      </w:r>
      <w:proofErr w:type="spellStart"/>
      <w:r w:rsidRPr="46F8D434">
        <w:rPr>
          <w:rFonts w:eastAsia="Calibri" w:cs="Calibri"/>
        </w:rPr>
        <w:t>Taiwhenua</w:t>
      </w:r>
      <w:proofErr w:type="spellEnd"/>
      <w:r w:rsidRPr="46F8D434">
        <w:rPr>
          <w:rFonts w:eastAsia="Calibri" w:cs="Calibri"/>
        </w:rPr>
        <w:t xml:space="preserve"> – our Māori Strategic Framework – enables us to work effectively with Māori. Te Aka </w:t>
      </w:r>
      <w:proofErr w:type="spellStart"/>
      <w:r w:rsidRPr="46F8D434">
        <w:rPr>
          <w:rFonts w:eastAsia="Calibri" w:cs="Calibri"/>
        </w:rPr>
        <w:t>Taiwhenua</w:t>
      </w:r>
      <w:proofErr w:type="spellEnd"/>
      <w:r w:rsidRPr="46F8D434">
        <w:rPr>
          <w:rFonts w:eastAsia="Calibri" w:cs="Calibri"/>
        </w:rPr>
        <w:t xml:space="preserve"> is underpinned by our </w:t>
      </w:r>
      <w:proofErr w:type="spellStart"/>
      <w:r w:rsidRPr="46F8D434">
        <w:rPr>
          <w:rFonts w:eastAsia="Calibri" w:cs="Calibri"/>
        </w:rPr>
        <w:t>mātāpono</w:t>
      </w:r>
      <w:proofErr w:type="spellEnd"/>
      <w:r w:rsidRPr="46F8D434">
        <w:rPr>
          <w:rFonts w:eastAsia="Calibri" w:cs="Calibri"/>
        </w:rPr>
        <w:t xml:space="preserve"> – Kotahitanga, </w:t>
      </w:r>
      <w:proofErr w:type="spellStart"/>
      <w:r w:rsidRPr="46F8D434">
        <w:rPr>
          <w:rFonts w:eastAsia="Calibri" w:cs="Calibri"/>
        </w:rPr>
        <w:t>Manaakitanga</w:t>
      </w:r>
      <w:proofErr w:type="spellEnd"/>
      <w:r w:rsidRPr="46F8D434">
        <w:rPr>
          <w:rFonts w:eastAsia="Calibri" w:cs="Calibri"/>
        </w:rPr>
        <w:t xml:space="preserve">, </w:t>
      </w:r>
      <w:proofErr w:type="spellStart"/>
      <w:r w:rsidRPr="46F8D434">
        <w:rPr>
          <w:rFonts w:eastAsia="Calibri" w:cs="Calibri"/>
        </w:rPr>
        <w:t>Whānaungatanga</w:t>
      </w:r>
      <w:proofErr w:type="spellEnd"/>
      <w:r w:rsidRPr="46F8D434">
        <w:rPr>
          <w:rFonts w:eastAsia="Calibri" w:cs="Calibri"/>
        </w:rPr>
        <w:t xml:space="preserve">, He </w:t>
      </w:r>
      <w:proofErr w:type="spellStart"/>
      <w:r w:rsidRPr="46F8D434">
        <w:rPr>
          <w:rFonts w:eastAsia="Calibri" w:cs="Calibri"/>
        </w:rPr>
        <w:t>Tāngata</w:t>
      </w:r>
      <w:proofErr w:type="spellEnd"/>
      <w:r w:rsidRPr="46F8D434">
        <w:rPr>
          <w:rFonts w:eastAsia="Calibri" w:cs="Calibri"/>
        </w:rPr>
        <w:t>.</w:t>
      </w:r>
    </w:p>
    <w:p w14:paraId="59F35480" w14:textId="397EDA85" w:rsidR="46F8D434" w:rsidRDefault="46F8D434">
      <w:r w:rsidRPr="46F8D434">
        <w:rPr>
          <w:rFonts w:eastAsia="Calibri" w:cs="Calibri"/>
        </w:rPr>
        <w:t xml:space="preserve">As DIA is an agent of the Crown, Te </w:t>
      </w:r>
      <w:proofErr w:type="spellStart"/>
      <w:r w:rsidRPr="46F8D434">
        <w:rPr>
          <w:rFonts w:eastAsia="Calibri" w:cs="Calibri"/>
        </w:rPr>
        <w:t>Tiriti</w:t>
      </w:r>
      <w:proofErr w:type="spellEnd"/>
      <w:r w:rsidRPr="46F8D434">
        <w:rPr>
          <w:rFonts w:eastAsia="Calibri" w:cs="Calibri"/>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w:t>
      </w:r>
      <w:proofErr w:type="gramStart"/>
      <w:r w:rsidRPr="46F8D434">
        <w:rPr>
          <w:rFonts w:eastAsia="Calibri" w:cs="Calibri"/>
        </w:rPr>
        <w:t>stakeholders</w:t>
      </w:r>
      <w:proofErr w:type="gramEnd"/>
      <w:r w:rsidRPr="46F8D434">
        <w:rPr>
          <w:rFonts w:eastAsia="Calibri" w:cs="Calibri"/>
        </w:rPr>
        <w:t xml:space="preserve"> and other </w:t>
      </w:r>
      <w:r w:rsidRPr="46F8D434">
        <w:rPr>
          <w:rFonts w:eastAsia="Calibri" w:cs="Calibri"/>
        </w:rPr>
        <w:lastRenderedPageBreak/>
        <w:t xml:space="preserve">agencies.  We accept our privileged role and responsibility of holding and protecting the Treaty of Waitangi / Te </w:t>
      </w:r>
      <w:proofErr w:type="spellStart"/>
      <w:r w:rsidRPr="46F8D434">
        <w:rPr>
          <w:rFonts w:eastAsia="Calibri" w:cs="Calibri"/>
        </w:rPr>
        <w:t>Tiriti</w:t>
      </w:r>
      <w:proofErr w:type="spellEnd"/>
      <w:r w:rsidRPr="46F8D434">
        <w:rPr>
          <w:rFonts w:eastAsia="Calibri" w:cs="Calibri"/>
        </w:rPr>
        <w:t xml:space="preserve"> o Waitangi.                            </w:t>
      </w:r>
    </w:p>
    <w:p w14:paraId="30197B71" w14:textId="02A1830C" w:rsidR="46F8D434" w:rsidRDefault="46F8D434" w:rsidP="46F8D434">
      <w:pPr>
        <w:pStyle w:val="Heading2withoverline"/>
        <w:spacing w:line="259" w:lineRule="auto"/>
      </w:pPr>
      <w:r>
        <w:t>Spirit of Service</w:t>
      </w:r>
    </w:p>
    <w:p w14:paraId="6175DEC0" w14:textId="2EABE8CA" w:rsidR="46F8D434" w:rsidRDefault="46F8D434">
      <w:r w:rsidRPr="46F8D434">
        <w:rPr>
          <w:rFonts w:eastAsia="Calibri" w:cs="Calibri"/>
        </w:rPr>
        <w:t xml:space="preserve">Ka </w:t>
      </w:r>
      <w:proofErr w:type="spellStart"/>
      <w:r w:rsidRPr="46F8D434">
        <w:rPr>
          <w:rFonts w:eastAsia="Calibri" w:cs="Calibri"/>
        </w:rPr>
        <w:t>mahitahi</w:t>
      </w:r>
      <w:proofErr w:type="spellEnd"/>
      <w:r w:rsidRPr="46F8D434">
        <w:rPr>
          <w:rFonts w:eastAsia="Calibri" w:cs="Calibri"/>
        </w:rPr>
        <w:t xml:space="preserve"> </w:t>
      </w:r>
      <w:proofErr w:type="spellStart"/>
      <w:r w:rsidRPr="46F8D434">
        <w:rPr>
          <w:rFonts w:eastAsia="Calibri" w:cs="Calibri"/>
        </w:rPr>
        <w:t>mātou</w:t>
      </w:r>
      <w:proofErr w:type="spellEnd"/>
      <w:r w:rsidRPr="46F8D434">
        <w:rPr>
          <w:rFonts w:eastAsia="Calibri" w:cs="Calibri"/>
        </w:rPr>
        <w:t xml:space="preserve"> o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ratonga</w:t>
      </w:r>
      <w:proofErr w:type="spellEnd"/>
      <w:r w:rsidRPr="46F8D434">
        <w:rPr>
          <w:rFonts w:eastAsia="Calibri" w:cs="Calibri"/>
        </w:rPr>
        <w:t xml:space="preserve"> </w:t>
      </w:r>
      <w:proofErr w:type="spellStart"/>
      <w:r w:rsidRPr="46F8D434">
        <w:rPr>
          <w:rFonts w:eastAsia="Calibri" w:cs="Calibri"/>
        </w:rPr>
        <w:t>tūmatanui</w:t>
      </w:r>
      <w:proofErr w:type="spellEnd"/>
      <w:r w:rsidRPr="46F8D434">
        <w:rPr>
          <w:rFonts w:eastAsia="Calibri" w:cs="Calibri"/>
        </w:rPr>
        <w:t xml:space="preserve"> kia </w:t>
      </w:r>
      <w:proofErr w:type="spellStart"/>
      <w:r w:rsidRPr="46F8D434">
        <w:rPr>
          <w:rFonts w:eastAsia="Calibri" w:cs="Calibri"/>
        </w:rPr>
        <w:t>hei</w:t>
      </w:r>
      <w:proofErr w:type="spellEnd"/>
      <w:r w:rsidRPr="46F8D434">
        <w:rPr>
          <w:rFonts w:eastAsia="Calibri" w:cs="Calibri"/>
        </w:rPr>
        <w:t xml:space="preserve"> </w:t>
      </w:r>
      <w:proofErr w:type="spellStart"/>
      <w:r w:rsidRPr="46F8D434">
        <w:rPr>
          <w:rFonts w:eastAsia="Calibri" w:cs="Calibri"/>
        </w:rPr>
        <w:t>painga</w:t>
      </w:r>
      <w:proofErr w:type="spellEnd"/>
      <w:r w:rsidRPr="46F8D434">
        <w:rPr>
          <w:rFonts w:eastAsia="Calibri" w:cs="Calibri"/>
        </w:rPr>
        <w:t xml:space="preserve"> </w:t>
      </w:r>
      <w:proofErr w:type="spellStart"/>
      <w:r w:rsidRPr="46F8D434">
        <w:rPr>
          <w:rFonts w:eastAsia="Calibri" w:cs="Calibri"/>
        </w:rPr>
        <w:t>mō</w:t>
      </w:r>
      <w:proofErr w:type="spellEnd"/>
      <w:r w:rsidRPr="46F8D434">
        <w:rPr>
          <w:rFonts w:eastAsia="Calibri" w:cs="Calibri"/>
        </w:rPr>
        <w:t xml:space="preserve"> </w:t>
      </w:r>
      <w:proofErr w:type="spellStart"/>
      <w:r w:rsidRPr="46F8D434">
        <w:rPr>
          <w:rFonts w:eastAsia="Calibri" w:cs="Calibri"/>
        </w:rPr>
        <w:t>ngā</w:t>
      </w:r>
      <w:proofErr w:type="spellEnd"/>
      <w:r w:rsidRPr="46F8D434">
        <w:rPr>
          <w:rFonts w:eastAsia="Calibri" w:cs="Calibri"/>
        </w:rPr>
        <w:t xml:space="preserve"> </w:t>
      </w:r>
      <w:proofErr w:type="spellStart"/>
      <w:r w:rsidRPr="46F8D434">
        <w:rPr>
          <w:rFonts w:eastAsia="Calibri" w:cs="Calibri"/>
        </w:rPr>
        <w:t>tāngata</w:t>
      </w:r>
      <w:proofErr w:type="spellEnd"/>
      <w:r w:rsidRPr="46F8D434">
        <w:rPr>
          <w:rFonts w:eastAsia="Calibri" w:cs="Calibri"/>
        </w:rPr>
        <w:t xml:space="preserve"> o Aotearoa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āianei</w:t>
      </w:r>
      <w:proofErr w:type="spellEnd"/>
      <w:r w:rsidRPr="46F8D434">
        <w:rPr>
          <w:rFonts w:eastAsia="Calibri" w:cs="Calibri"/>
        </w:rPr>
        <w:t xml:space="preserve">, ā, </w:t>
      </w:r>
      <w:proofErr w:type="spellStart"/>
      <w:r w:rsidRPr="46F8D434">
        <w:rPr>
          <w:rFonts w:eastAsia="Calibri" w:cs="Calibri"/>
        </w:rPr>
        <w:t>hei</w:t>
      </w:r>
      <w:proofErr w:type="spellEnd"/>
      <w:r w:rsidRPr="46F8D434">
        <w:rPr>
          <w:rFonts w:eastAsia="Calibri" w:cs="Calibri"/>
        </w:rPr>
        <w:t xml:space="preserve"> </w:t>
      </w:r>
      <w:proofErr w:type="spellStart"/>
      <w:r w:rsidRPr="46F8D434">
        <w:rPr>
          <w:rFonts w:eastAsia="Calibri" w:cs="Calibri"/>
        </w:rPr>
        <w:t>ngā</w:t>
      </w:r>
      <w:proofErr w:type="spellEnd"/>
      <w:r w:rsidRPr="46F8D434">
        <w:rPr>
          <w:rFonts w:eastAsia="Calibri" w:cs="Calibri"/>
        </w:rPr>
        <w:t xml:space="preserve"> </w:t>
      </w:r>
      <w:proofErr w:type="spellStart"/>
      <w:r w:rsidRPr="46F8D434">
        <w:rPr>
          <w:rFonts w:eastAsia="Calibri" w:cs="Calibri"/>
        </w:rPr>
        <w:t>rā</w:t>
      </w:r>
      <w:proofErr w:type="spellEnd"/>
      <w:r w:rsidRPr="46F8D434">
        <w:rPr>
          <w:rFonts w:eastAsia="Calibri" w:cs="Calibri"/>
        </w:rPr>
        <w:t xml:space="preserve"> ki </w:t>
      </w:r>
      <w:proofErr w:type="spellStart"/>
      <w:r w:rsidRPr="46F8D434">
        <w:rPr>
          <w:rFonts w:eastAsia="Calibri" w:cs="Calibri"/>
        </w:rPr>
        <w:t>tua</w:t>
      </w:r>
      <w:proofErr w:type="spellEnd"/>
      <w:r w:rsidRPr="46F8D434">
        <w:rPr>
          <w:rFonts w:eastAsia="Calibri" w:cs="Calibri"/>
        </w:rPr>
        <w:t xml:space="preserve"> </w:t>
      </w:r>
      <w:proofErr w:type="spellStart"/>
      <w:r w:rsidRPr="46F8D434">
        <w:rPr>
          <w:rFonts w:eastAsia="Calibri" w:cs="Calibri"/>
        </w:rPr>
        <w:t>hoki</w:t>
      </w:r>
      <w:proofErr w:type="spellEnd"/>
      <w:r w:rsidRPr="46F8D434">
        <w:rPr>
          <w:rFonts w:eastAsia="Calibri" w:cs="Calibri"/>
        </w:rPr>
        <w:t xml:space="preserve">. He </w:t>
      </w:r>
      <w:proofErr w:type="spellStart"/>
      <w:r w:rsidRPr="46F8D434">
        <w:rPr>
          <w:rFonts w:eastAsia="Calibri" w:cs="Calibri"/>
        </w:rPr>
        <w:t>kawenga</w:t>
      </w:r>
      <w:proofErr w:type="spellEnd"/>
      <w:r w:rsidRPr="46F8D434">
        <w:rPr>
          <w:rFonts w:eastAsia="Calibri" w:cs="Calibri"/>
        </w:rPr>
        <w:t xml:space="preserve"> </w:t>
      </w:r>
      <w:proofErr w:type="spellStart"/>
      <w:r w:rsidRPr="46F8D434">
        <w:rPr>
          <w:rFonts w:eastAsia="Calibri" w:cs="Calibri"/>
        </w:rPr>
        <w:t>tino</w:t>
      </w:r>
      <w:proofErr w:type="spellEnd"/>
      <w:r w:rsidRPr="46F8D434">
        <w:rPr>
          <w:rFonts w:eastAsia="Calibri" w:cs="Calibri"/>
        </w:rPr>
        <w:t xml:space="preserve"> </w:t>
      </w:r>
      <w:proofErr w:type="spellStart"/>
      <w:r w:rsidRPr="46F8D434">
        <w:rPr>
          <w:rFonts w:eastAsia="Calibri" w:cs="Calibri"/>
        </w:rPr>
        <w:t>whaitake</w:t>
      </w:r>
      <w:proofErr w:type="spellEnd"/>
      <w:r w:rsidRPr="46F8D434">
        <w:rPr>
          <w:rFonts w:eastAsia="Calibri" w:cs="Calibri"/>
        </w:rPr>
        <w:t xml:space="preserve"> </w:t>
      </w:r>
      <w:proofErr w:type="spellStart"/>
      <w:r w:rsidRPr="46F8D434">
        <w:rPr>
          <w:rFonts w:eastAsia="Calibri" w:cs="Calibri"/>
        </w:rPr>
        <w:t>tā</w:t>
      </w:r>
      <w:proofErr w:type="spellEnd"/>
      <w:r w:rsidRPr="46F8D434">
        <w:rPr>
          <w:rFonts w:eastAsia="Calibri" w:cs="Calibri"/>
        </w:rPr>
        <w:t xml:space="preserve"> </w:t>
      </w:r>
      <w:proofErr w:type="spellStart"/>
      <w:r w:rsidRPr="46F8D434">
        <w:rPr>
          <w:rFonts w:eastAsia="Calibri" w:cs="Calibri"/>
        </w:rPr>
        <w:t>mātou</w:t>
      </w:r>
      <w:proofErr w:type="spellEnd"/>
      <w:r w:rsidRPr="46F8D434">
        <w:rPr>
          <w:rFonts w:eastAsia="Calibri" w:cs="Calibri"/>
        </w:rPr>
        <w:t xml:space="preserve"> </w:t>
      </w:r>
      <w:proofErr w:type="spellStart"/>
      <w:r w:rsidRPr="46F8D434">
        <w:rPr>
          <w:rFonts w:eastAsia="Calibri" w:cs="Calibri"/>
        </w:rPr>
        <w:t>hei</w:t>
      </w:r>
      <w:proofErr w:type="spellEnd"/>
      <w:r w:rsidRPr="46F8D434">
        <w:rPr>
          <w:rFonts w:eastAsia="Calibri" w:cs="Calibri"/>
        </w:rPr>
        <w:t xml:space="preserve"> </w:t>
      </w:r>
      <w:proofErr w:type="spellStart"/>
      <w:r w:rsidRPr="46F8D434">
        <w:rPr>
          <w:rFonts w:eastAsia="Calibri" w:cs="Calibri"/>
        </w:rPr>
        <w:t>tautoko</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Karauna</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runga</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āna</w:t>
      </w:r>
      <w:proofErr w:type="spellEnd"/>
      <w:r w:rsidRPr="46F8D434">
        <w:rPr>
          <w:rFonts w:eastAsia="Calibri" w:cs="Calibri"/>
        </w:rPr>
        <w:t xml:space="preserve"> </w:t>
      </w:r>
      <w:proofErr w:type="spellStart"/>
      <w:r w:rsidRPr="46F8D434">
        <w:rPr>
          <w:rFonts w:eastAsia="Calibri" w:cs="Calibri"/>
        </w:rPr>
        <w:t>hononga</w:t>
      </w:r>
      <w:proofErr w:type="spellEnd"/>
      <w:r w:rsidRPr="46F8D434">
        <w:rPr>
          <w:rFonts w:eastAsia="Calibri" w:cs="Calibri"/>
        </w:rPr>
        <w:t xml:space="preserve"> ki a </w:t>
      </w:r>
      <w:proofErr w:type="spellStart"/>
      <w:r w:rsidRPr="46F8D434">
        <w:rPr>
          <w:rFonts w:eastAsia="Calibri" w:cs="Calibri"/>
        </w:rPr>
        <w:t>ngāi</w:t>
      </w:r>
      <w:proofErr w:type="spellEnd"/>
      <w:r w:rsidRPr="46F8D434">
        <w:rPr>
          <w:rFonts w:eastAsia="Calibri" w:cs="Calibri"/>
        </w:rPr>
        <w:t xml:space="preserve"> Māori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raro</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Tiriti</w:t>
      </w:r>
      <w:proofErr w:type="spellEnd"/>
      <w:r w:rsidRPr="46F8D434">
        <w:rPr>
          <w:rFonts w:eastAsia="Calibri" w:cs="Calibri"/>
        </w:rPr>
        <w:t xml:space="preserve"> o Waitangi. Ka </w:t>
      </w:r>
      <w:proofErr w:type="spellStart"/>
      <w:r w:rsidRPr="46F8D434">
        <w:rPr>
          <w:rFonts w:eastAsia="Calibri" w:cs="Calibri"/>
        </w:rPr>
        <w:t>tautoko</w:t>
      </w:r>
      <w:proofErr w:type="spellEnd"/>
      <w:r w:rsidRPr="46F8D434">
        <w:rPr>
          <w:rFonts w:eastAsia="Calibri" w:cs="Calibri"/>
        </w:rPr>
        <w:t xml:space="preserve"> </w:t>
      </w:r>
      <w:proofErr w:type="spellStart"/>
      <w:r w:rsidRPr="46F8D434">
        <w:rPr>
          <w:rFonts w:eastAsia="Calibri" w:cs="Calibri"/>
        </w:rPr>
        <w:t>mātou</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kāwanatanga</w:t>
      </w:r>
      <w:proofErr w:type="spellEnd"/>
      <w:r w:rsidRPr="46F8D434">
        <w:rPr>
          <w:rFonts w:eastAsia="Calibri" w:cs="Calibri"/>
        </w:rPr>
        <w:t xml:space="preserve"> </w:t>
      </w:r>
      <w:proofErr w:type="spellStart"/>
      <w:r w:rsidRPr="46F8D434">
        <w:rPr>
          <w:rFonts w:eastAsia="Calibri" w:cs="Calibri"/>
        </w:rPr>
        <w:t>manapori</w:t>
      </w:r>
      <w:proofErr w:type="spellEnd"/>
      <w:r w:rsidRPr="46F8D434">
        <w:rPr>
          <w:rFonts w:eastAsia="Calibri" w:cs="Calibri"/>
        </w:rPr>
        <w:t xml:space="preserve">. Ka </w:t>
      </w:r>
      <w:proofErr w:type="spellStart"/>
      <w:r w:rsidRPr="46F8D434">
        <w:rPr>
          <w:rFonts w:eastAsia="Calibri" w:cs="Calibri"/>
        </w:rPr>
        <w:t>whakakotahingia</w:t>
      </w:r>
      <w:proofErr w:type="spellEnd"/>
      <w:r w:rsidRPr="46F8D434">
        <w:rPr>
          <w:rFonts w:eastAsia="Calibri" w:cs="Calibri"/>
        </w:rPr>
        <w:t xml:space="preserve"> </w:t>
      </w:r>
      <w:proofErr w:type="spellStart"/>
      <w:r w:rsidRPr="46F8D434">
        <w:rPr>
          <w:rFonts w:eastAsia="Calibri" w:cs="Calibri"/>
        </w:rPr>
        <w:t>mātou</w:t>
      </w:r>
      <w:proofErr w:type="spellEnd"/>
      <w:r w:rsidRPr="46F8D434">
        <w:rPr>
          <w:rFonts w:eastAsia="Calibri" w:cs="Calibri"/>
        </w:rPr>
        <w:t xml:space="preserve"> e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wairua</w:t>
      </w:r>
      <w:proofErr w:type="spellEnd"/>
      <w:r w:rsidRPr="46F8D434">
        <w:rPr>
          <w:rFonts w:eastAsia="Calibri" w:cs="Calibri"/>
        </w:rPr>
        <w:t xml:space="preserve"> </w:t>
      </w:r>
      <w:proofErr w:type="spellStart"/>
      <w:r w:rsidRPr="46F8D434">
        <w:rPr>
          <w:rFonts w:eastAsia="Calibri" w:cs="Calibri"/>
        </w:rPr>
        <w:t>whakarato</w:t>
      </w:r>
      <w:proofErr w:type="spellEnd"/>
      <w:r w:rsidRPr="46F8D434">
        <w:rPr>
          <w:rFonts w:eastAsia="Calibri" w:cs="Calibri"/>
        </w:rPr>
        <w:t xml:space="preserve"> ki ō </w:t>
      </w:r>
      <w:proofErr w:type="spellStart"/>
      <w:r w:rsidRPr="46F8D434">
        <w:rPr>
          <w:rFonts w:eastAsia="Calibri" w:cs="Calibri"/>
        </w:rPr>
        <w:t>mātou</w:t>
      </w:r>
      <w:proofErr w:type="spellEnd"/>
      <w:r w:rsidRPr="46F8D434">
        <w:rPr>
          <w:rFonts w:eastAsia="Calibri" w:cs="Calibri"/>
        </w:rPr>
        <w:t xml:space="preserve"> </w:t>
      </w:r>
      <w:proofErr w:type="spellStart"/>
      <w:r w:rsidRPr="46F8D434">
        <w:rPr>
          <w:rFonts w:eastAsia="Calibri" w:cs="Calibri"/>
        </w:rPr>
        <w:t>hapori</w:t>
      </w:r>
      <w:proofErr w:type="spellEnd"/>
      <w:r w:rsidRPr="46F8D434">
        <w:rPr>
          <w:rFonts w:eastAsia="Calibri" w:cs="Calibri"/>
        </w:rPr>
        <w:t xml:space="preserve">, ā, e </w:t>
      </w:r>
      <w:proofErr w:type="spellStart"/>
      <w:r w:rsidRPr="46F8D434">
        <w:rPr>
          <w:rFonts w:eastAsia="Calibri" w:cs="Calibri"/>
        </w:rPr>
        <w:t>arahina</w:t>
      </w:r>
      <w:proofErr w:type="spellEnd"/>
      <w:r w:rsidRPr="46F8D434">
        <w:rPr>
          <w:rFonts w:eastAsia="Calibri" w:cs="Calibri"/>
        </w:rPr>
        <w:t xml:space="preserve"> ana </w:t>
      </w:r>
      <w:proofErr w:type="spellStart"/>
      <w:r w:rsidRPr="46F8D434">
        <w:rPr>
          <w:rFonts w:eastAsia="Calibri" w:cs="Calibri"/>
        </w:rPr>
        <w:t>mātou</w:t>
      </w:r>
      <w:proofErr w:type="spellEnd"/>
      <w:r w:rsidRPr="46F8D434">
        <w:rPr>
          <w:rFonts w:eastAsia="Calibri" w:cs="Calibri"/>
        </w:rPr>
        <w:t xml:space="preserve"> e </w:t>
      </w:r>
      <w:proofErr w:type="spellStart"/>
      <w:r w:rsidRPr="46F8D434">
        <w:rPr>
          <w:rFonts w:eastAsia="Calibri" w:cs="Calibri"/>
        </w:rPr>
        <w:t>ngā</w:t>
      </w:r>
      <w:proofErr w:type="spellEnd"/>
      <w:r w:rsidRPr="46F8D434">
        <w:rPr>
          <w:rFonts w:eastAsia="Calibri" w:cs="Calibri"/>
        </w:rPr>
        <w:t xml:space="preserve"> </w:t>
      </w:r>
      <w:proofErr w:type="spellStart"/>
      <w:r w:rsidRPr="46F8D434">
        <w:rPr>
          <w:rFonts w:eastAsia="Calibri" w:cs="Calibri"/>
        </w:rPr>
        <w:t>mātāpono</w:t>
      </w:r>
      <w:proofErr w:type="spellEnd"/>
      <w:r w:rsidRPr="46F8D434">
        <w:rPr>
          <w:rFonts w:eastAsia="Calibri" w:cs="Calibri"/>
        </w:rPr>
        <w:t xml:space="preserve"> me </w:t>
      </w:r>
      <w:proofErr w:type="spellStart"/>
      <w:r w:rsidRPr="46F8D434">
        <w:rPr>
          <w:rFonts w:eastAsia="Calibri" w:cs="Calibri"/>
        </w:rPr>
        <w:t>ngā</w:t>
      </w:r>
      <w:proofErr w:type="spellEnd"/>
      <w:r w:rsidRPr="46F8D434">
        <w:rPr>
          <w:rFonts w:eastAsia="Calibri" w:cs="Calibri"/>
        </w:rPr>
        <w:t xml:space="preserve"> tikanga </w:t>
      </w:r>
      <w:proofErr w:type="spellStart"/>
      <w:r w:rsidRPr="46F8D434">
        <w:rPr>
          <w:rFonts w:eastAsia="Calibri" w:cs="Calibri"/>
        </w:rPr>
        <w:t>matua</w:t>
      </w:r>
      <w:proofErr w:type="spellEnd"/>
      <w:r w:rsidRPr="46F8D434">
        <w:rPr>
          <w:rFonts w:eastAsia="Calibri" w:cs="Calibri"/>
        </w:rPr>
        <w:t xml:space="preserve"> o </w:t>
      </w:r>
      <w:proofErr w:type="spellStart"/>
      <w:r w:rsidRPr="46F8D434">
        <w:rPr>
          <w:rFonts w:eastAsia="Calibri" w:cs="Calibri"/>
        </w:rPr>
        <w:t>te</w:t>
      </w:r>
      <w:proofErr w:type="spellEnd"/>
      <w:r w:rsidRPr="46F8D434">
        <w:rPr>
          <w:rFonts w:eastAsia="Calibri" w:cs="Calibri"/>
        </w:rPr>
        <w:t xml:space="preserve"> </w:t>
      </w:r>
      <w:proofErr w:type="spellStart"/>
      <w:r w:rsidRPr="46F8D434">
        <w:rPr>
          <w:rFonts w:eastAsia="Calibri" w:cs="Calibri"/>
        </w:rPr>
        <w:t>ratonga</w:t>
      </w:r>
      <w:proofErr w:type="spellEnd"/>
      <w:r w:rsidRPr="46F8D434">
        <w:rPr>
          <w:rFonts w:eastAsia="Calibri" w:cs="Calibri"/>
        </w:rPr>
        <w:t xml:space="preserve"> </w:t>
      </w:r>
      <w:proofErr w:type="spellStart"/>
      <w:r w:rsidRPr="46F8D434">
        <w:rPr>
          <w:rFonts w:eastAsia="Calibri" w:cs="Calibri"/>
        </w:rPr>
        <w:t>tūmatanui</w:t>
      </w:r>
      <w:proofErr w:type="spellEnd"/>
      <w:r w:rsidRPr="46F8D434">
        <w:rPr>
          <w:rFonts w:eastAsia="Calibri" w:cs="Calibri"/>
        </w:rPr>
        <w:t xml:space="preserve"> </w:t>
      </w:r>
      <w:proofErr w:type="spellStart"/>
      <w:r w:rsidRPr="46F8D434">
        <w:rPr>
          <w:rFonts w:eastAsia="Calibri" w:cs="Calibri"/>
        </w:rPr>
        <w:t>i</w:t>
      </w:r>
      <w:proofErr w:type="spellEnd"/>
      <w:r w:rsidRPr="46F8D434">
        <w:rPr>
          <w:rFonts w:eastAsia="Calibri" w:cs="Calibri"/>
        </w:rPr>
        <w:t xml:space="preserve"> roto </w:t>
      </w:r>
      <w:proofErr w:type="spellStart"/>
      <w:r w:rsidRPr="46F8D434">
        <w:rPr>
          <w:rFonts w:eastAsia="Calibri" w:cs="Calibri"/>
        </w:rPr>
        <w:t>i</w:t>
      </w:r>
      <w:proofErr w:type="spellEnd"/>
      <w:r w:rsidRPr="46F8D434">
        <w:rPr>
          <w:rFonts w:eastAsia="Calibri" w:cs="Calibri"/>
        </w:rPr>
        <w:t xml:space="preserve"> ā </w:t>
      </w:r>
      <w:proofErr w:type="spellStart"/>
      <w:r w:rsidRPr="46F8D434">
        <w:rPr>
          <w:rFonts w:eastAsia="Calibri" w:cs="Calibri"/>
        </w:rPr>
        <w:t>mātou</w:t>
      </w:r>
      <w:proofErr w:type="spellEnd"/>
      <w:r w:rsidRPr="46F8D434">
        <w:rPr>
          <w:rFonts w:eastAsia="Calibri" w:cs="Calibri"/>
        </w:rPr>
        <w:t xml:space="preserve"> mahi. </w:t>
      </w:r>
    </w:p>
    <w:p w14:paraId="758FD469" w14:textId="6911AB5C" w:rsidR="46F8D434" w:rsidRDefault="46F8D434">
      <w:r w:rsidRPr="46F8D434">
        <w:rPr>
          <w:rFonts w:eastAsia="Calibri" w:cs="Calibri"/>
          <w:color w:val="2E1459"/>
        </w:rPr>
        <w:t xml:space="preserve"> </w:t>
      </w:r>
    </w:p>
    <w:p w14:paraId="02370628" w14:textId="2628D885" w:rsidR="46F8D434" w:rsidRDefault="46F8D434">
      <w:r w:rsidRPr="46F8D434">
        <w:rPr>
          <w:rFonts w:eastAsia="Calibri" w:cs="Calibri"/>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2D7B5501"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2D7B5502" w14:textId="77777777" w:rsidR="006713ED" w:rsidRDefault="006713ED" w:rsidP="00DA62E8">
      <w:pPr>
        <w:pStyle w:val="Tinyline"/>
      </w:pPr>
    </w:p>
    <w:p w14:paraId="2D7B5503"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4"/>
        <w:gridCol w:w="3861"/>
      </w:tblGrid>
      <w:tr w:rsidR="001C15EE" w:rsidRPr="006B2693" w14:paraId="2D7B5506" w14:textId="77777777" w:rsidTr="6657278C">
        <w:trPr>
          <w:cantSplit/>
          <w:tblHeader/>
        </w:trPr>
        <w:tc>
          <w:tcPr>
            <w:tcW w:w="5812" w:type="dxa"/>
            <w:tcBorders>
              <w:bottom w:val="nil"/>
              <w:right w:val="single" w:sz="6" w:space="0" w:color="FFFFFF" w:themeColor="background1"/>
            </w:tcBorders>
            <w:shd w:val="clear" w:color="auto" w:fill="1F546B" w:themeFill="text2"/>
          </w:tcPr>
          <w:p w14:paraId="2D7B5504"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2D7B5505"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2D7B550E" w14:textId="77777777" w:rsidTr="6657278C">
        <w:trPr>
          <w:cantSplit/>
        </w:trPr>
        <w:tc>
          <w:tcPr>
            <w:tcW w:w="5812" w:type="dxa"/>
            <w:tcBorders>
              <w:top w:val="nil"/>
              <w:left w:val="nil"/>
              <w:bottom w:val="single" w:sz="6" w:space="0" w:color="1F546B" w:themeColor="text2"/>
              <w:right w:val="single" w:sz="6" w:space="0" w:color="1F546B" w:themeColor="text2"/>
            </w:tcBorders>
          </w:tcPr>
          <w:p w14:paraId="2D7B5507" w14:textId="77777777" w:rsidR="003D175D" w:rsidRPr="003D175D" w:rsidRDefault="007536FF" w:rsidP="003D175D">
            <w:pPr>
              <w:pStyle w:val="Tablenormal0"/>
              <w:rPr>
                <w:b/>
                <w:bCs/>
              </w:rPr>
            </w:pPr>
            <w:r>
              <w:rPr>
                <w:b/>
                <w:bCs/>
              </w:rPr>
              <w:t>Communications</w:t>
            </w:r>
            <w:r w:rsidR="005C1C48">
              <w:rPr>
                <w:b/>
                <w:bCs/>
              </w:rPr>
              <w:t xml:space="preserve"> planning and reporting </w:t>
            </w:r>
          </w:p>
          <w:p w14:paraId="2D7B5508" w14:textId="77777777" w:rsidR="003D175D" w:rsidRDefault="005C1C48" w:rsidP="005C1C48">
            <w:pPr>
              <w:pStyle w:val="Tablebullet"/>
            </w:pPr>
            <w:r>
              <w:t xml:space="preserve">Develop and maintain a </w:t>
            </w:r>
            <w:r w:rsidR="00FD0EDB">
              <w:t>deep</w:t>
            </w:r>
            <w:r>
              <w:t xml:space="preserve"> understanding of the business of the branch / portfolio </w:t>
            </w:r>
            <w:proofErr w:type="gramStart"/>
            <w:r>
              <w:t>in order to</w:t>
            </w:r>
            <w:proofErr w:type="gramEnd"/>
            <w:r>
              <w:t xml:space="preserve"> develop</w:t>
            </w:r>
            <w:r w:rsidR="00B61E8D">
              <w:t xml:space="preserve"> and deliver</w:t>
            </w:r>
            <w:r>
              <w:t xml:space="preserve"> business-aligned communications plans</w:t>
            </w:r>
            <w:r w:rsidR="00FD0EDB">
              <w:t>, programmes</w:t>
            </w:r>
            <w:r>
              <w:t xml:space="preserve"> an</w:t>
            </w:r>
            <w:r w:rsidR="00FD0EDB">
              <w:t>d activities</w:t>
            </w:r>
            <w:r w:rsidR="00012D48">
              <w:t>.</w:t>
            </w:r>
            <w:r>
              <w:t xml:space="preserve"> </w:t>
            </w:r>
          </w:p>
          <w:p w14:paraId="2D7B5509" w14:textId="77777777" w:rsidR="007D66A5" w:rsidRPr="007D66A5" w:rsidRDefault="007D66A5" w:rsidP="007D66A5">
            <w:pPr>
              <w:pStyle w:val="Tablebullet"/>
            </w:pPr>
            <w:r w:rsidRPr="007D66A5">
              <w:t xml:space="preserve">Develop communications plans that clearly identify and outline objectives, risks, mitigants, key messages, and plans for </w:t>
            </w:r>
            <w:r w:rsidR="00ED2D91">
              <w:t>engaging with both internal and external audiences.</w:t>
            </w:r>
          </w:p>
          <w:p w14:paraId="2D7B550A" w14:textId="77777777" w:rsidR="00E02A8B" w:rsidRPr="003D175D" w:rsidRDefault="005C1C48" w:rsidP="00E02A8B">
            <w:pPr>
              <w:pStyle w:val="Tablebullet"/>
            </w:pPr>
            <w:r>
              <w:t xml:space="preserve">Maintain an overview </w:t>
            </w:r>
            <w:r w:rsidR="00B61E8D">
              <w:t xml:space="preserve">of, </w:t>
            </w:r>
            <w:r>
              <w:t>and actively contribute to</w:t>
            </w:r>
            <w:r w:rsidR="00B61E8D">
              <w:t>,</w:t>
            </w:r>
            <w:r>
              <w:t xml:space="preserve"> an integrated approach to communications for </w:t>
            </w:r>
            <w:r w:rsidR="00B61E8D">
              <w:t>the Department’s f</w:t>
            </w:r>
            <w:r>
              <w:t xml:space="preserve">unctional </w:t>
            </w:r>
            <w:r w:rsidR="00B61E8D">
              <w:t xml:space="preserve">responsibility </w:t>
            </w:r>
            <w:r>
              <w:t>areas e.g</w:t>
            </w:r>
            <w:r w:rsidR="00E02A8B">
              <w:t>., AoG, that cut across branch /</w:t>
            </w:r>
            <w:r>
              <w:t xml:space="preserve"> portfolios</w:t>
            </w:r>
            <w:r w:rsidR="00012D48">
              <w:t>.</w:t>
            </w:r>
          </w:p>
        </w:tc>
        <w:tc>
          <w:tcPr>
            <w:tcW w:w="3935" w:type="dxa"/>
            <w:tcBorders>
              <w:top w:val="nil"/>
              <w:left w:val="single" w:sz="6" w:space="0" w:color="1F546B" w:themeColor="text2"/>
              <w:bottom w:val="single" w:sz="6" w:space="0" w:color="1F546B" w:themeColor="text2"/>
              <w:right w:val="nil"/>
            </w:tcBorders>
          </w:tcPr>
          <w:p w14:paraId="2D7B550B" w14:textId="77777777" w:rsidR="00012D48" w:rsidRPr="00012D48" w:rsidRDefault="00B61E8D" w:rsidP="00012D48">
            <w:pPr>
              <w:pStyle w:val="Tablebullet"/>
            </w:pPr>
            <w:r>
              <w:t>Development and delivery of b</w:t>
            </w:r>
            <w:r w:rsidR="007D66A5">
              <w:t>usiness-</w:t>
            </w:r>
            <w:r w:rsidR="00F7360E">
              <w:t xml:space="preserve">aligned </w:t>
            </w:r>
            <w:r>
              <w:t>communications plans</w:t>
            </w:r>
            <w:r w:rsidR="00012D48" w:rsidRPr="00012D48">
              <w:t xml:space="preserve"> that </w:t>
            </w:r>
            <w:r>
              <w:t>support achievement of strategic business objectives and</w:t>
            </w:r>
            <w:r w:rsidR="00012D48" w:rsidRPr="00012D48">
              <w:t xml:space="preserve"> outcomes.</w:t>
            </w:r>
          </w:p>
          <w:p w14:paraId="2D7B550C" w14:textId="77777777" w:rsidR="003D175D" w:rsidRDefault="00012D48" w:rsidP="00F7360E">
            <w:pPr>
              <w:pStyle w:val="Tablebullet"/>
            </w:pPr>
            <w:r>
              <w:t xml:space="preserve">Communications activity that is well planned, </w:t>
            </w:r>
            <w:proofErr w:type="gramStart"/>
            <w:r w:rsidR="00F7360E">
              <w:t>measurable</w:t>
            </w:r>
            <w:proofErr w:type="gramEnd"/>
            <w:r>
              <w:t xml:space="preserve"> and informed by </w:t>
            </w:r>
            <w:r w:rsidR="00F7360E">
              <w:t>business and audience needs</w:t>
            </w:r>
            <w:r w:rsidR="00B61E8D">
              <w:t>.</w:t>
            </w:r>
          </w:p>
          <w:p w14:paraId="2D7B550D" w14:textId="77777777" w:rsidR="00F7360E" w:rsidRPr="003D175D" w:rsidRDefault="00F7360E" w:rsidP="00F7360E">
            <w:pPr>
              <w:pStyle w:val="Tablebullet"/>
            </w:pPr>
            <w:r>
              <w:t>A consistent and coherent approach to communications planning and activity for functional areas</w:t>
            </w:r>
            <w:r w:rsidR="00B61E8D">
              <w:t>.</w:t>
            </w:r>
          </w:p>
        </w:tc>
      </w:tr>
      <w:tr w:rsidR="003D175D" w:rsidRPr="003D175D" w14:paraId="2D7B551B" w14:textId="77777777" w:rsidTr="6657278C">
        <w:trPr>
          <w:cantSplit/>
        </w:trPr>
        <w:tc>
          <w:tcPr>
            <w:tcW w:w="5812" w:type="dxa"/>
            <w:tcBorders>
              <w:top w:val="nil"/>
              <w:left w:val="nil"/>
              <w:bottom w:val="single" w:sz="6" w:space="0" w:color="1F546B" w:themeColor="text2"/>
              <w:right w:val="single" w:sz="6" w:space="0" w:color="1F546B" w:themeColor="text2"/>
            </w:tcBorders>
          </w:tcPr>
          <w:p w14:paraId="2D7B550F" w14:textId="77777777" w:rsidR="003D175D" w:rsidRPr="003D175D" w:rsidRDefault="005C1C48" w:rsidP="003D175D">
            <w:pPr>
              <w:pStyle w:val="Tablenormal0"/>
              <w:rPr>
                <w:b/>
                <w:bCs/>
              </w:rPr>
            </w:pPr>
            <w:r>
              <w:rPr>
                <w:b/>
                <w:bCs/>
              </w:rPr>
              <w:t>Advice and delivery</w:t>
            </w:r>
          </w:p>
          <w:p w14:paraId="2D7B5510" w14:textId="77777777" w:rsidR="008043E0" w:rsidRDefault="008043E0" w:rsidP="00E02A8B">
            <w:pPr>
              <w:pStyle w:val="Tablebullet"/>
            </w:pPr>
            <w:r>
              <w:t>Provide a</w:t>
            </w:r>
            <w:r w:rsidR="00E02A8B">
              <w:t xml:space="preserve">dvice on </w:t>
            </w:r>
            <w:r>
              <w:t xml:space="preserve">how to best utilise integrated communications </w:t>
            </w:r>
            <w:r w:rsidR="00B61E8D">
              <w:t xml:space="preserve">and communications channels </w:t>
            </w:r>
            <w:r>
              <w:t>to deliver against business objectives</w:t>
            </w:r>
            <w:r w:rsidR="00F7360E">
              <w:t>.</w:t>
            </w:r>
            <w:r w:rsidR="00E02A8B">
              <w:t xml:space="preserve"> </w:t>
            </w:r>
          </w:p>
          <w:p w14:paraId="2D7B5511" w14:textId="77777777" w:rsidR="00B61E8D" w:rsidRDefault="00B61E8D" w:rsidP="00E02A8B">
            <w:pPr>
              <w:pStyle w:val="Tablebullet"/>
            </w:pPr>
            <w:r>
              <w:t xml:space="preserve">Provide leadership for and project manage communications initiatives and programmes to support delivery of business programmes and outcomes. </w:t>
            </w:r>
          </w:p>
          <w:p w14:paraId="2D7B5512" w14:textId="77777777" w:rsidR="003D175D" w:rsidRDefault="007D66A5" w:rsidP="007D66A5">
            <w:pPr>
              <w:pStyle w:val="Tablebullet"/>
            </w:pPr>
            <w:r>
              <w:t>Proactively m</w:t>
            </w:r>
            <w:r w:rsidR="008043E0">
              <w:t>anage the</w:t>
            </w:r>
            <w:r w:rsidR="00E02A8B">
              <w:t xml:space="preserve"> media</w:t>
            </w:r>
            <w:r w:rsidR="008043E0">
              <w:t xml:space="preserve"> and provide advice on media engagement </w:t>
            </w:r>
            <w:proofErr w:type="gramStart"/>
            <w:r w:rsidR="008043E0">
              <w:t>in order to</w:t>
            </w:r>
            <w:proofErr w:type="gramEnd"/>
            <w:r w:rsidR="008043E0">
              <w:t xml:space="preserve"> protect and enhance the department’s reputation</w:t>
            </w:r>
            <w:r w:rsidR="00F7360E">
              <w:t>.</w:t>
            </w:r>
            <w:r>
              <w:t xml:space="preserve">    </w:t>
            </w:r>
          </w:p>
          <w:p w14:paraId="2D7B5513" w14:textId="77777777" w:rsidR="00E02A8B" w:rsidRDefault="008043E0" w:rsidP="003D175D">
            <w:pPr>
              <w:pStyle w:val="Tablebullet"/>
            </w:pPr>
            <w:r>
              <w:t xml:space="preserve">Manage and develop </w:t>
            </w:r>
            <w:r w:rsidR="00E02A8B">
              <w:t>strategic communications content</w:t>
            </w:r>
            <w:r>
              <w:t xml:space="preserve"> that contribute</w:t>
            </w:r>
            <w:r w:rsidR="007D66A5">
              <w:t>s to both branch and DIA-</w:t>
            </w:r>
            <w:r>
              <w:t>wide communications and channels</w:t>
            </w:r>
            <w:r w:rsidR="00F7360E">
              <w:t>.</w:t>
            </w:r>
          </w:p>
          <w:p w14:paraId="2D7B5514" w14:textId="77777777" w:rsidR="00E02A8B" w:rsidRDefault="008043E0" w:rsidP="008043E0">
            <w:pPr>
              <w:pStyle w:val="Tablebullet"/>
            </w:pPr>
            <w:r>
              <w:t xml:space="preserve">Provide quality assurance and advice on the development </w:t>
            </w:r>
            <w:r w:rsidR="00E02A8B">
              <w:t>of business content</w:t>
            </w:r>
            <w:r>
              <w:t xml:space="preserve"> communications</w:t>
            </w:r>
            <w:r w:rsidR="00F7360E">
              <w:t>.</w:t>
            </w:r>
          </w:p>
          <w:p w14:paraId="2D7B5515" w14:textId="77777777" w:rsidR="00B61E8D" w:rsidRPr="003D175D" w:rsidRDefault="00B61E8D" w:rsidP="008043E0">
            <w:pPr>
              <w:pStyle w:val="Tablebullet"/>
            </w:pPr>
            <w:r>
              <w:t xml:space="preserve">Ensure branch / portfolio communications activity is consistent with </w:t>
            </w:r>
            <w:r w:rsidR="001643C5">
              <w:t xml:space="preserve">departmental communication and brand policies, </w:t>
            </w:r>
            <w:proofErr w:type="gramStart"/>
            <w:r w:rsidR="001643C5">
              <w:t>standards</w:t>
            </w:r>
            <w:proofErr w:type="gramEnd"/>
            <w:r w:rsidR="001643C5">
              <w:t xml:space="preserve"> and expectations. </w:t>
            </w:r>
          </w:p>
        </w:tc>
        <w:tc>
          <w:tcPr>
            <w:tcW w:w="3935" w:type="dxa"/>
            <w:tcBorders>
              <w:top w:val="nil"/>
              <w:left w:val="single" w:sz="6" w:space="0" w:color="1F546B" w:themeColor="text2"/>
              <w:bottom w:val="single" w:sz="6" w:space="0" w:color="1F546B" w:themeColor="text2"/>
              <w:right w:val="nil"/>
            </w:tcBorders>
          </w:tcPr>
          <w:p w14:paraId="2D7B5516" w14:textId="77777777" w:rsidR="003D175D" w:rsidRDefault="00F7360E" w:rsidP="003D175D">
            <w:pPr>
              <w:pStyle w:val="Tablebullet"/>
            </w:pPr>
            <w:r>
              <w:t>Business receives timely and quality advice on how best to use communications to deliver against its business objectives</w:t>
            </w:r>
            <w:r w:rsidR="00B61E8D">
              <w:t>.</w:t>
            </w:r>
          </w:p>
          <w:p w14:paraId="2D7B5517" w14:textId="77777777" w:rsidR="00B61E8D" w:rsidRDefault="00B61E8D" w:rsidP="003D175D">
            <w:pPr>
              <w:pStyle w:val="Tablebullet"/>
            </w:pPr>
            <w:r>
              <w:t>The communications activity of the branch / portfolio including initiatives and projects are proactively managed and delivered</w:t>
            </w:r>
            <w:r w:rsidR="001643C5">
              <w:t>.</w:t>
            </w:r>
          </w:p>
          <w:p w14:paraId="2D7B5518" w14:textId="77777777" w:rsidR="00F7360E" w:rsidRDefault="00F7360E" w:rsidP="003D175D">
            <w:pPr>
              <w:pStyle w:val="Tablebullet"/>
            </w:pPr>
            <w:r>
              <w:t>DIA is effectively represented in the media</w:t>
            </w:r>
            <w:r w:rsidR="00B61E8D">
              <w:t>.</w:t>
            </w:r>
          </w:p>
          <w:p w14:paraId="2D7B5519" w14:textId="77777777" w:rsidR="00F7360E" w:rsidRDefault="00FD0EDB" w:rsidP="003D175D">
            <w:pPr>
              <w:pStyle w:val="Tablebullet"/>
            </w:pPr>
            <w:r>
              <w:t xml:space="preserve">Development of </w:t>
            </w:r>
            <w:proofErr w:type="gramStart"/>
            <w:r>
              <w:t>h</w:t>
            </w:r>
            <w:r w:rsidR="00F7360E">
              <w:t>igh quality</w:t>
            </w:r>
            <w:proofErr w:type="gramEnd"/>
            <w:r w:rsidR="00F7360E">
              <w:t xml:space="preserve"> strategic communications content</w:t>
            </w:r>
            <w:r w:rsidR="00B61E8D">
              <w:t>.</w:t>
            </w:r>
            <w:r w:rsidR="00F7360E">
              <w:t xml:space="preserve"> </w:t>
            </w:r>
          </w:p>
          <w:p w14:paraId="2D7B551A" w14:textId="77777777" w:rsidR="00F7360E" w:rsidRPr="003D175D" w:rsidRDefault="00F7360E" w:rsidP="003D175D">
            <w:pPr>
              <w:pStyle w:val="Tablebullet"/>
            </w:pPr>
            <w:r>
              <w:t xml:space="preserve">Business managers and staff </w:t>
            </w:r>
            <w:r w:rsidR="00FD0EDB">
              <w:t xml:space="preserve">are </w:t>
            </w:r>
            <w:r>
              <w:t>supported to self-serve for the development of business content communications</w:t>
            </w:r>
            <w:r w:rsidR="00B61E8D">
              <w:t>.</w:t>
            </w:r>
          </w:p>
        </w:tc>
      </w:tr>
      <w:tr w:rsidR="003D175D" w:rsidRPr="003D175D" w14:paraId="2D7B5526" w14:textId="77777777" w:rsidTr="6657278C">
        <w:trPr>
          <w:cantSplit/>
        </w:trPr>
        <w:tc>
          <w:tcPr>
            <w:tcW w:w="5812" w:type="dxa"/>
            <w:tcBorders>
              <w:top w:val="nil"/>
              <w:left w:val="nil"/>
              <w:bottom w:val="single" w:sz="6" w:space="0" w:color="1F546B" w:themeColor="text2"/>
              <w:right w:val="single" w:sz="6" w:space="0" w:color="1F546B" w:themeColor="text2"/>
            </w:tcBorders>
          </w:tcPr>
          <w:p w14:paraId="2D7B551C" w14:textId="77777777" w:rsidR="003D175D" w:rsidRPr="003D175D" w:rsidRDefault="005C1C48" w:rsidP="003D175D">
            <w:pPr>
              <w:pStyle w:val="Tablenormal0"/>
              <w:rPr>
                <w:b/>
                <w:bCs/>
              </w:rPr>
            </w:pPr>
            <w:r>
              <w:rPr>
                <w:b/>
                <w:bCs/>
              </w:rPr>
              <w:lastRenderedPageBreak/>
              <w:t>Stakeholder management and coaching</w:t>
            </w:r>
          </w:p>
          <w:p w14:paraId="2D7B551D" w14:textId="77777777" w:rsidR="003D175D" w:rsidRDefault="008043E0" w:rsidP="003D175D">
            <w:pPr>
              <w:pStyle w:val="Tablebullet"/>
            </w:pPr>
            <w:r>
              <w:t>Develop and maintain effective working r</w:t>
            </w:r>
            <w:r w:rsidR="00E02A8B">
              <w:t>elationships with senior management</w:t>
            </w:r>
            <w:r>
              <w:t xml:space="preserve"> and staff</w:t>
            </w:r>
            <w:r w:rsidR="007536FF">
              <w:t>.</w:t>
            </w:r>
          </w:p>
          <w:p w14:paraId="2D7B551E" w14:textId="77777777" w:rsidR="00E02A8B" w:rsidRDefault="008043E0" w:rsidP="003D175D">
            <w:pPr>
              <w:pStyle w:val="Tablebullet"/>
            </w:pPr>
            <w:r>
              <w:t xml:space="preserve">Manage </w:t>
            </w:r>
            <w:r w:rsidR="005577E4">
              <w:t xml:space="preserve">effective </w:t>
            </w:r>
            <w:r>
              <w:t>engagement and relationships with media relevant to the branch / portfolio</w:t>
            </w:r>
            <w:r w:rsidR="007536FF">
              <w:t>.</w:t>
            </w:r>
          </w:p>
          <w:p w14:paraId="2D7B551F" w14:textId="77777777" w:rsidR="00E02A8B" w:rsidRDefault="00C93ED8" w:rsidP="00C93ED8">
            <w:pPr>
              <w:pStyle w:val="Tablebullet"/>
            </w:pPr>
            <w:r>
              <w:t>Work with Capability and Channels team to coach and develop</w:t>
            </w:r>
            <w:r w:rsidR="00E02A8B">
              <w:t xml:space="preserve"> </w:t>
            </w:r>
            <w:r>
              <w:t xml:space="preserve">communications skills across </w:t>
            </w:r>
            <w:r w:rsidR="00E02A8B">
              <w:t>business managers and staff</w:t>
            </w:r>
            <w:r w:rsidR="007536FF">
              <w:t>.</w:t>
            </w:r>
            <w:r w:rsidR="00E02A8B">
              <w:t xml:space="preserve"> </w:t>
            </w:r>
          </w:p>
          <w:p w14:paraId="2D7B5520" w14:textId="77777777" w:rsidR="00F46374" w:rsidRPr="003D175D" w:rsidRDefault="00F46374" w:rsidP="00C93ED8">
            <w:pPr>
              <w:pStyle w:val="Tablebullet"/>
            </w:pPr>
            <w:r>
              <w:t>Develop and maintain strong working relationships other agencies’ communications teams as required to order to deliver integrated multi-agency communications</w:t>
            </w:r>
            <w:r w:rsidR="007536FF">
              <w:t>.</w:t>
            </w:r>
          </w:p>
        </w:tc>
        <w:tc>
          <w:tcPr>
            <w:tcW w:w="3935" w:type="dxa"/>
            <w:tcBorders>
              <w:top w:val="nil"/>
              <w:left w:val="single" w:sz="6" w:space="0" w:color="1F546B" w:themeColor="text2"/>
              <w:bottom w:val="single" w:sz="6" w:space="0" w:color="1F546B" w:themeColor="text2"/>
              <w:right w:val="nil"/>
            </w:tcBorders>
          </w:tcPr>
          <w:p w14:paraId="2D7B5521" w14:textId="77777777" w:rsidR="005577E4" w:rsidRDefault="005577E4" w:rsidP="005577E4">
            <w:pPr>
              <w:pStyle w:val="Tablebullet"/>
              <w:numPr>
                <w:ilvl w:val="0"/>
                <w:numId w:val="0"/>
              </w:numPr>
              <w:ind w:left="357"/>
            </w:pPr>
          </w:p>
          <w:p w14:paraId="2D7B5522" w14:textId="77777777" w:rsidR="005577E4" w:rsidRDefault="00F7360E" w:rsidP="00F7360E">
            <w:pPr>
              <w:pStyle w:val="Tablebullet"/>
            </w:pPr>
            <w:r>
              <w:t>Commun</w:t>
            </w:r>
            <w:r w:rsidR="005577E4">
              <w:t>ications is</w:t>
            </w:r>
            <w:r>
              <w:t xml:space="preserve"> seen as</w:t>
            </w:r>
            <w:r w:rsidR="005577E4">
              <w:t xml:space="preserve"> a trusted and valued partner and advisor to the business</w:t>
            </w:r>
            <w:r w:rsidR="001643C5">
              <w:t>.</w:t>
            </w:r>
          </w:p>
          <w:p w14:paraId="2D7B5523" w14:textId="77777777" w:rsidR="001643C5" w:rsidRDefault="001643C5" w:rsidP="00F7360E">
            <w:pPr>
              <w:pStyle w:val="Tablebullet"/>
            </w:pPr>
            <w:r>
              <w:t xml:space="preserve">Communications advice is sought out, taken on </w:t>
            </w:r>
            <w:proofErr w:type="gramStart"/>
            <w:r>
              <w:t>board</w:t>
            </w:r>
            <w:proofErr w:type="gramEnd"/>
            <w:r>
              <w:t xml:space="preserve"> and acted on by the business.</w:t>
            </w:r>
          </w:p>
          <w:p w14:paraId="2D7B5524" w14:textId="77777777" w:rsidR="003D175D" w:rsidRDefault="007536FF" w:rsidP="00FD0EDB">
            <w:pPr>
              <w:pStyle w:val="Tablebullet"/>
            </w:pPr>
            <w:r>
              <w:t>Effective</w:t>
            </w:r>
            <w:r w:rsidR="00FD0EDB">
              <w:t xml:space="preserve"> relationships are established </w:t>
            </w:r>
            <w:r>
              <w:t xml:space="preserve">and maintained </w:t>
            </w:r>
            <w:r w:rsidR="00FD0EDB">
              <w:t>with the media that enable DIA to proactively manage its reputation in the media</w:t>
            </w:r>
            <w:r w:rsidR="001643C5">
              <w:t>.</w:t>
            </w:r>
            <w:r w:rsidR="00FD0EDB">
              <w:t xml:space="preserve"> </w:t>
            </w:r>
          </w:p>
          <w:p w14:paraId="2D7B5525" w14:textId="77777777" w:rsidR="00F46374" w:rsidRPr="003D175D" w:rsidRDefault="00F46374" w:rsidP="00F46374">
            <w:pPr>
              <w:pStyle w:val="Tablebullet"/>
            </w:pPr>
            <w:r>
              <w:t>DIA Communications is seen as responsive and supportive of a system-wide approach to communications</w:t>
            </w:r>
            <w:r w:rsidR="007536FF">
              <w:t>.</w:t>
            </w:r>
          </w:p>
        </w:tc>
      </w:tr>
      <w:tr w:rsidR="005C1C48" w:rsidRPr="003D175D" w14:paraId="2D7B552E" w14:textId="77777777" w:rsidTr="6657278C">
        <w:trPr>
          <w:cantSplit/>
        </w:trPr>
        <w:tc>
          <w:tcPr>
            <w:tcW w:w="5812" w:type="dxa"/>
            <w:tcBorders>
              <w:top w:val="nil"/>
              <w:left w:val="nil"/>
              <w:bottom w:val="single" w:sz="6" w:space="0" w:color="1F546B" w:themeColor="text2"/>
              <w:right w:val="single" w:sz="6" w:space="0" w:color="1F546B" w:themeColor="text2"/>
            </w:tcBorders>
          </w:tcPr>
          <w:p w14:paraId="2D7B5527" w14:textId="77777777" w:rsidR="005C1C48" w:rsidRDefault="00C93ED8" w:rsidP="003D175D">
            <w:pPr>
              <w:pStyle w:val="Tablenormal0"/>
              <w:rPr>
                <w:b/>
                <w:bCs/>
              </w:rPr>
            </w:pPr>
            <w:proofErr w:type="gramStart"/>
            <w:r>
              <w:rPr>
                <w:b/>
                <w:bCs/>
              </w:rPr>
              <w:t>Team work</w:t>
            </w:r>
            <w:proofErr w:type="gramEnd"/>
          </w:p>
          <w:p w14:paraId="2D7B5528" w14:textId="25D213B4" w:rsidR="00C93ED8" w:rsidRPr="00C93ED8" w:rsidRDefault="6657278C" w:rsidP="6657278C">
            <w:pPr>
              <w:pStyle w:val="Tablenormal0"/>
              <w:numPr>
                <w:ilvl w:val="0"/>
                <w:numId w:val="44"/>
              </w:numPr>
            </w:pPr>
            <w:r>
              <w:t xml:space="preserve">Work effectively with peers across the Corporate Centre to identify connections between branches and portfolios in order to maximise opportunities for a </w:t>
            </w:r>
            <w:proofErr w:type="gramStart"/>
            <w:r>
              <w:t>joined up</w:t>
            </w:r>
            <w:proofErr w:type="gramEnd"/>
            <w:r>
              <w:t xml:space="preserve"> approach to communications and Organisational Capability and Services across DIA.</w:t>
            </w:r>
          </w:p>
          <w:p w14:paraId="2D7B5529" w14:textId="77777777" w:rsidR="00C93ED8" w:rsidRPr="00C93ED8" w:rsidRDefault="00C93ED8" w:rsidP="00C93ED8">
            <w:pPr>
              <w:pStyle w:val="Tablenormal0"/>
              <w:numPr>
                <w:ilvl w:val="0"/>
                <w:numId w:val="44"/>
              </w:numPr>
              <w:rPr>
                <w:bCs/>
              </w:rPr>
            </w:pPr>
            <w:r>
              <w:rPr>
                <w:bCs/>
              </w:rPr>
              <w:t>Provide leadership to</w:t>
            </w:r>
            <w:r w:rsidR="00FD0EDB">
              <w:rPr>
                <w:bCs/>
              </w:rPr>
              <w:t>,</w:t>
            </w:r>
            <w:r>
              <w:rPr>
                <w:bCs/>
              </w:rPr>
              <w:t xml:space="preserve"> and support the development of</w:t>
            </w:r>
            <w:r w:rsidR="00FD0EDB">
              <w:rPr>
                <w:bCs/>
              </w:rPr>
              <w:t>,</w:t>
            </w:r>
            <w:r>
              <w:rPr>
                <w:bCs/>
              </w:rPr>
              <w:t xml:space="preserve"> Communications Advisors by</w:t>
            </w:r>
            <w:r w:rsidR="00FD0EDB">
              <w:rPr>
                <w:bCs/>
              </w:rPr>
              <w:t xml:space="preserve"> proactively</w:t>
            </w:r>
            <w:r>
              <w:rPr>
                <w:bCs/>
              </w:rPr>
              <w:t xml:space="preserve"> sharing knowledge and </w:t>
            </w:r>
            <w:r w:rsidR="00FD0EDB">
              <w:rPr>
                <w:bCs/>
              </w:rPr>
              <w:t>providing advice</w:t>
            </w:r>
            <w:r w:rsidR="005577E4">
              <w:rPr>
                <w:bCs/>
              </w:rPr>
              <w:t>.</w:t>
            </w:r>
            <w:r w:rsidRPr="00C93ED8">
              <w:rPr>
                <w:bCs/>
              </w:rPr>
              <w:t xml:space="preserve"> </w:t>
            </w:r>
          </w:p>
          <w:p w14:paraId="2D7B552A" w14:textId="77777777" w:rsidR="005C1C48" w:rsidRDefault="005C1C48" w:rsidP="003D175D">
            <w:pPr>
              <w:pStyle w:val="Tablenormal0"/>
              <w:rPr>
                <w:b/>
                <w:bCs/>
              </w:rPr>
            </w:pPr>
          </w:p>
        </w:tc>
        <w:tc>
          <w:tcPr>
            <w:tcW w:w="3935" w:type="dxa"/>
            <w:tcBorders>
              <w:top w:val="nil"/>
              <w:left w:val="single" w:sz="6" w:space="0" w:color="1F546B" w:themeColor="text2"/>
              <w:bottom w:val="single" w:sz="6" w:space="0" w:color="1F546B" w:themeColor="text2"/>
              <w:right w:val="nil"/>
            </w:tcBorders>
          </w:tcPr>
          <w:p w14:paraId="2D7B552B" w14:textId="77777777" w:rsidR="005577E4" w:rsidRDefault="005577E4" w:rsidP="005577E4">
            <w:pPr>
              <w:pStyle w:val="Tablebullet"/>
              <w:numPr>
                <w:ilvl w:val="0"/>
                <w:numId w:val="0"/>
              </w:numPr>
              <w:ind w:left="357"/>
            </w:pPr>
          </w:p>
          <w:p w14:paraId="2D7B552C" w14:textId="4797FBCF" w:rsidR="005C1C48" w:rsidRDefault="6657278C" w:rsidP="005577E4">
            <w:pPr>
              <w:pStyle w:val="Tablebullet"/>
            </w:pPr>
            <w:r>
              <w:t xml:space="preserve">Collaboration with Communications team members and colleagues in Organisational Capability and Services and the Corporate Centre to deliver seamless and joined up services to the business. </w:t>
            </w:r>
          </w:p>
          <w:p w14:paraId="2D7B552D" w14:textId="77777777" w:rsidR="005577E4" w:rsidRDefault="005577E4" w:rsidP="007D66A5">
            <w:pPr>
              <w:pStyle w:val="Tablebullet"/>
            </w:pPr>
            <w:r>
              <w:t xml:space="preserve">Communications Advisors </w:t>
            </w:r>
            <w:r w:rsidR="00BD67A7">
              <w:t xml:space="preserve">are supported and </w:t>
            </w:r>
            <w:r w:rsidR="001643C5">
              <w:t>developed</w:t>
            </w:r>
            <w:r w:rsidR="00BD67A7">
              <w:t xml:space="preserve"> to take on </w:t>
            </w:r>
            <w:r w:rsidR="001643C5">
              <w:t xml:space="preserve">more </w:t>
            </w:r>
            <w:r w:rsidR="00BD67A7">
              <w:t xml:space="preserve">challenging </w:t>
            </w:r>
            <w:r w:rsidR="007D66A5">
              <w:t>work</w:t>
            </w:r>
            <w:r w:rsidR="001643C5">
              <w:t>.</w:t>
            </w:r>
            <w:r>
              <w:t xml:space="preserve">  </w:t>
            </w:r>
          </w:p>
        </w:tc>
      </w:tr>
      <w:tr w:rsidR="003D175D" w:rsidRPr="003D175D" w14:paraId="2D7B5536" w14:textId="77777777" w:rsidTr="6657278C">
        <w:trPr>
          <w:cantSplit/>
        </w:trPr>
        <w:tc>
          <w:tcPr>
            <w:tcW w:w="5812" w:type="dxa"/>
            <w:tcBorders>
              <w:top w:val="nil"/>
              <w:left w:val="nil"/>
              <w:bottom w:val="single" w:sz="6" w:space="0" w:color="1F546B" w:themeColor="text2"/>
              <w:right w:val="single" w:sz="6" w:space="0" w:color="1F546B" w:themeColor="text2"/>
            </w:tcBorders>
          </w:tcPr>
          <w:p w14:paraId="2D7B552F" w14:textId="77777777" w:rsidR="003D175D" w:rsidRPr="003D175D" w:rsidRDefault="003D175D" w:rsidP="003D175D">
            <w:pPr>
              <w:pStyle w:val="Tablenormal0"/>
              <w:rPr>
                <w:b/>
                <w:bCs/>
              </w:rPr>
            </w:pPr>
            <w:r>
              <w:rPr>
                <w:b/>
                <w:bCs/>
              </w:rPr>
              <w:t>Health and safety (for self)</w:t>
            </w:r>
          </w:p>
          <w:p w14:paraId="2D7B5530" w14:textId="77777777" w:rsidR="00596858" w:rsidRDefault="00596858" w:rsidP="00596858">
            <w:pPr>
              <w:pStyle w:val="Tablebullet"/>
            </w:pPr>
            <w:r>
              <w:t>Work safely and take responsibility for keeping self and colleagues free from harm</w:t>
            </w:r>
            <w:r w:rsidR="007536FF">
              <w:t>.</w:t>
            </w:r>
          </w:p>
          <w:p w14:paraId="2D7B5531" w14:textId="77777777" w:rsidR="00596858" w:rsidRDefault="00596858" w:rsidP="00596858">
            <w:pPr>
              <w:pStyle w:val="Tablebullet"/>
            </w:pPr>
            <w:r>
              <w:t>Report all incidents and hazards promptly</w:t>
            </w:r>
            <w:r w:rsidR="007536FF">
              <w:t>.</w:t>
            </w:r>
          </w:p>
          <w:p w14:paraId="2D7B5532" w14:textId="77777777" w:rsidR="00596858" w:rsidRDefault="00596858" w:rsidP="00596858">
            <w:pPr>
              <w:pStyle w:val="Tablebullet"/>
            </w:pPr>
            <w:r>
              <w:t>Know what to do in the event of an emergency</w:t>
            </w:r>
            <w:r w:rsidR="007536FF">
              <w:t>.</w:t>
            </w:r>
          </w:p>
          <w:p w14:paraId="2D7B5533" w14:textId="77777777" w:rsidR="003D175D" w:rsidRPr="003D175D" w:rsidRDefault="00596858" w:rsidP="00596858">
            <w:pPr>
              <w:pStyle w:val="Tablebullet"/>
            </w:pPr>
            <w:r>
              <w:t>Cooperate in implementing return to work plans</w:t>
            </w:r>
            <w:r w:rsidR="007536FF">
              <w:t>.</w:t>
            </w:r>
          </w:p>
        </w:tc>
        <w:tc>
          <w:tcPr>
            <w:tcW w:w="3935" w:type="dxa"/>
            <w:tcBorders>
              <w:top w:val="nil"/>
              <w:left w:val="single" w:sz="6" w:space="0" w:color="1F546B" w:themeColor="text2"/>
              <w:bottom w:val="single" w:sz="6" w:space="0" w:color="1F546B" w:themeColor="text2"/>
              <w:right w:val="nil"/>
            </w:tcBorders>
          </w:tcPr>
          <w:p w14:paraId="2D7B5534" w14:textId="77777777" w:rsidR="00410084" w:rsidRDefault="00410084" w:rsidP="00410084">
            <w:pPr>
              <w:pStyle w:val="Tablebullet"/>
            </w:pPr>
            <w:r w:rsidRPr="009161CB">
              <w:t>A safe and health</w:t>
            </w:r>
            <w:r>
              <w:t>y</w:t>
            </w:r>
            <w:r w:rsidRPr="009161CB">
              <w:t xml:space="preserve"> workplace for all people using our sites as a place of work.</w:t>
            </w:r>
          </w:p>
          <w:p w14:paraId="2D7B5535" w14:textId="77777777" w:rsidR="003D175D" w:rsidRPr="003D175D" w:rsidRDefault="00410084" w:rsidP="00410084">
            <w:pPr>
              <w:pStyle w:val="Tablebullet"/>
            </w:pPr>
            <w:r w:rsidRPr="006B2693">
              <w:t>Health and</w:t>
            </w:r>
            <w:r>
              <w:t xml:space="preserve"> safety guidelines are followed</w:t>
            </w:r>
            <w:r w:rsidR="007536FF">
              <w:t>.</w:t>
            </w:r>
          </w:p>
        </w:tc>
      </w:tr>
    </w:tbl>
    <w:p w14:paraId="2D7B5537" w14:textId="77777777" w:rsidR="00AE5C70" w:rsidRDefault="00AE5C70" w:rsidP="00ED37A7">
      <w:pPr>
        <w:pStyle w:val="Tinyline"/>
      </w:pPr>
    </w:p>
    <w:tbl>
      <w:tblPr>
        <w:tblStyle w:val="Blanktable1"/>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AE5C70" w:rsidRPr="00AE5C70" w14:paraId="2D7B5540" w14:textId="77777777" w:rsidTr="00FD0EDB">
        <w:trPr>
          <w:trHeight w:val="737"/>
          <w:tblHeader/>
        </w:trPr>
        <w:tc>
          <w:tcPr>
            <w:tcW w:w="5842" w:type="dxa"/>
            <w:gridSpan w:val="2"/>
            <w:tcBorders>
              <w:bottom w:val="single" w:sz="6" w:space="0" w:color="1F546B" w:themeColor="text2"/>
            </w:tcBorders>
          </w:tcPr>
          <w:p w14:paraId="2D7B5538" w14:textId="77777777" w:rsidR="00AE5C70" w:rsidRPr="00AE5C70" w:rsidRDefault="00AE5C70" w:rsidP="00AE5C70"/>
        </w:tc>
        <w:tc>
          <w:tcPr>
            <w:tcW w:w="651" w:type="dxa"/>
            <w:vMerge w:val="restart"/>
            <w:tcBorders>
              <w:bottom w:val="single" w:sz="6" w:space="0" w:color="1F546B" w:themeColor="text2"/>
            </w:tcBorders>
            <w:textDirection w:val="btLr"/>
            <w:vAlign w:val="center"/>
          </w:tcPr>
          <w:p w14:paraId="2D7B5539"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Advise</w:t>
            </w:r>
          </w:p>
        </w:tc>
        <w:tc>
          <w:tcPr>
            <w:tcW w:w="652" w:type="dxa"/>
            <w:vMerge w:val="restart"/>
            <w:tcBorders>
              <w:bottom w:val="single" w:sz="6" w:space="0" w:color="1F546B" w:themeColor="text2"/>
            </w:tcBorders>
            <w:textDirection w:val="btLr"/>
            <w:vAlign w:val="center"/>
          </w:tcPr>
          <w:p w14:paraId="2D7B553A"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Collaborate with</w:t>
            </w:r>
          </w:p>
        </w:tc>
        <w:tc>
          <w:tcPr>
            <w:tcW w:w="652" w:type="dxa"/>
            <w:vMerge w:val="restart"/>
            <w:tcBorders>
              <w:bottom w:val="single" w:sz="6" w:space="0" w:color="1F546B" w:themeColor="text2"/>
            </w:tcBorders>
            <w:textDirection w:val="btLr"/>
            <w:vAlign w:val="center"/>
          </w:tcPr>
          <w:p w14:paraId="2D7B553B"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Influence</w:t>
            </w:r>
          </w:p>
        </w:tc>
        <w:tc>
          <w:tcPr>
            <w:tcW w:w="651" w:type="dxa"/>
            <w:vMerge w:val="restart"/>
            <w:tcBorders>
              <w:bottom w:val="single" w:sz="6" w:space="0" w:color="1F546B" w:themeColor="text2"/>
            </w:tcBorders>
            <w:textDirection w:val="btLr"/>
            <w:vAlign w:val="center"/>
          </w:tcPr>
          <w:p w14:paraId="2D7B553C"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Inform</w:t>
            </w:r>
          </w:p>
        </w:tc>
        <w:tc>
          <w:tcPr>
            <w:tcW w:w="652" w:type="dxa"/>
            <w:vMerge w:val="restart"/>
            <w:tcBorders>
              <w:bottom w:val="single" w:sz="6" w:space="0" w:color="1F546B" w:themeColor="text2"/>
            </w:tcBorders>
            <w:textDirection w:val="btLr"/>
            <w:vAlign w:val="center"/>
          </w:tcPr>
          <w:p w14:paraId="2D7B553D"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Manage/</w:t>
            </w:r>
          </w:p>
          <w:p w14:paraId="2D7B553E"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lead</w:t>
            </w:r>
          </w:p>
        </w:tc>
        <w:tc>
          <w:tcPr>
            <w:tcW w:w="652" w:type="dxa"/>
            <w:vMerge w:val="restart"/>
            <w:tcBorders>
              <w:bottom w:val="single" w:sz="6" w:space="0" w:color="1F546B" w:themeColor="text2"/>
            </w:tcBorders>
            <w:textDirection w:val="btLr"/>
            <w:vAlign w:val="center"/>
          </w:tcPr>
          <w:p w14:paraId="2D7B553F" w14:textId="77777777" w:rsidR="00AE5C70" w:rsidRPr="00AE5C70" w:rsidRDefault="00AE5C70" w:rsidP="00AE5C70">
            <w:pPr>
              <w:spacing w:before="0" w:after="0" w:line="228" w:lineRule="auto"/>
              <w:ind w:left="57"/>
              <w:contextualSpacing/>
              <w:rPr>
                <w:rFonts w:eastAsia="Calibri"/>
                <w:color w:val="000000" w:themeColor="text1"/>
                <w:sz w:val="22"/>
                <w:szCs w:val="20"/>
              </w:rPr>
            </w:pPr>
            <w:r w:rsidRPr="00AE5C70">
              <w:rPr>
                <w:rFonts w:eastAsia="Calibri"/>
                <w:color w:val="000000" w:themeColor="text1"/>
                <w:sz w:val="22"/>
                <w:szCs w:val="20"/>
              </w:rPr>
              <w:t>Deliver to</w:t>
            </w:r>
          </w:p>
        </w:tc>
      </w:tr>
      <w:tr w:rsidR="00AE5C70" w:rsidRPr="00AE5C70" w14:paraId="2D7B5548" w14:textId="77777777" w:rsidTr="00FD0ED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D7B5541" w14:textId="77777777" w:rsidR="00AE5C70" w:rsidRPr="00AE5C70" w:rsidRDefault="00AE5C70" w:rsidP="00AE5C70">
            <w:pPr>
              <w:keepNext/>
              <w:spacing w:before="80" w:after="80"/>
              <w:rPr>
                <w:b/>
                <w:color w:val="FFFFFF" w:themeColor="background1"/>
                <w:sz w:val="26"/>
              </w:rPr>
            </w:pPr>
            <w:r w:rsidRPr="00AE5C70">
              <w:rPr>
                <w:b/>
                <w:color w:val="FFFFFF" w:themeColor="background1"/>
                <w:sz w:val="26"/>
              </w:rP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D7B5542" w14:textId="77777777" w:rsidR="00AE5C70" w:rsidRPr="00AE5C70" w:rsidRDefault="00AE5C70" w:rsidP="00AE5C70"/>
        </w:tc>
        <w:tc>
          <w:tcPr>
            <w:tcW w:w="652" w:type="dxa"/>
            <w:vMerge/>
            <w:tcBorders>
              <w:bottom w:val="single" w:sz="6" w:space="0" w:color="1F546B" w:themeColor="text2"/>
            </w:tcBorders>
            <w:textDirection w:val="btLr"/>
          </w:tcPr>
          <w:p w14:paraId="2D7B5543" w14:textId="77777777" w:rsidR="00AE5C70" w:rsidRPr="00AE5C70" w:rsidRDefault="00AE5C70" w:rsidP="00AE5C70"/>
        </w:tc>
        <w:tc>
          <w:tcPr>
            <w:tcW w:w="652" w:type="dxa"/>
            <w:vMerge/>
            <w:tcBorders>
              <w:bottom w:val="single" w:sz="6" w:space="0" w:color="1F546B" w:themeColor="text2"/>
            </w:tcBorders>
            <w:textDirection w:val="btLr"/>
          </w:tcPr>
          <w:p w14:paraId="2D7B5544" w14:textId="77777777" w:rsidR="00AE5C70" w:rsidRPr="00AE5C70" w:rsidRDefault="00AE5C70" w:rsidP="00AE5C70"/>
        </w:tc>
        <w:tc>
          <w:tcPr>
            <w:tcW w:w="651" w:type="dxa"/>
            <w:vMerge/>
            <w:tcBorders>
              <w:bottom w:val="single" w:sz="6" w:space="0" w:color="1F546B" w:themeColor="text2"/>
            </w:tcBorders>
            <w:textDirection w:val="btLr"/>
          </w:tcPr>
          <w:p w14:paraId="2D7B5545" w14:textId="77777777" w:rsidR="00AE5C70" w:rsidRPr="00AE5C70" w:rsidRDefault="00AE5C70" w:rsidP="00AE5C70"/>
        </w:tc>
        <w:tc>
          <w:tcPr>
            <w:tcW w:w="652" w:type="dxa"/>
            <w:vMerge/>
            <w:tcBorders>
              <w:bottom w:val="single" w:sz="6" w:space="0" w:color="1F546B" w:themeColor="text2"/>
            </w:tcBorders>
            <w:textDirection w:val="btLr"/>
          </w:tcPr>
          <w:p w14:paraId="2D7B5546" w14:textId="77777777" w:rsidR="00AE5C70" w:rsidRPr="00AE5C70" w:rsidRDefault="00AE5C70" w:rsidP="00AE5C70"/>
        </w:tc>
        <w:tc>
          <w:tcPr>
            <w:tcW w:w="652" w:type="dxa"/>
            <w:vMerge/>
            <w:tcBorders>
              <w:top w:val="single" w:sz="6" w:space="0" w:color="1F546B" w:themeColor="text2"/>
              <w:bottom w:val="single" w:sz="6" w:space="0" w:color="1F546B" w:themeColor="text2"/>
            </w:tcBorders>
            <w:textDirection w:val="btLr"/>
          </w:tcPr>
          <w:p w14:paraId="2D7B5547" w14:textId="77777777" w:rsidR="00AE5C70" w:rsidRPr="00AE5C70" w:rsidRDefault="00AE5C70" w:rsidP="00AE5C70"/>
        </w:tc>
      </w:tr>
      <w:tr w:rsidR="00AE5C70" w:rsidRPr="00AE5C70" w14:paraId="2D7B5551" w14:textId="77777777" w:rsidTr="00FD0EDB">
        <w:trPr>
          <w:trHeight w:val="345"/>
        </w:trPr>
        <w:tc>
          <w:tcPr>
            <w:tcW w:w="1134" w:type="dxa"/>
            <w:vMerge w:val="restart"/>
            <w:tcBorders>
              <w:top w:val="single" w:sz="6" w:space="0" w:color="1F546B" w:themeColor="text2"/>
              <w:right w:val="single" w:sz="6" w:space="0" w:color="1F546B" w:themeColor="text2"/>
            </w:tcBorders>
            <w:vAlign w:val="center"/>
          </w:tcPr>
          <w:p w14:paraId="2D7B5549" w14:textId="77777777" w:rsidR="00AE5C70" w:rsidRPr="00AE5C70" w:rsidRDefault="00AE5C70" w:rsidP="00AE5C70">
            <w:pPr>
              <w:spacing w:before="20" w:after="20"/>
            </w:pPr>
            <w:r w:rsidRPr="00AE5C70">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4A" w14:textId="77777777" w:rsidR="00AE5C70" w:rsidRPr="00AE5C70" w:rsidRDefault="00AE5C70" w:rsidP="00AE5C70">
            <w:pPr>
              <w:spacing w:before="20" w:after="20"/>
            </w:pPr>
            <w:r w:rsidRPr="00AE5C70">
              <w:t>Director Communications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4B" w14:textId="77777777" w:rsidR="00AE5C70" w:rsidRPr="00AE5C70" w:rsidRDefault="00AE5C70"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4C" w14:textId="77777777" w:rsidR="00AE5C70" w:rsidRPr="00AE5C70" w:rsidRDefault="00AE5C70"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4D" w14:textId="77777777" w:rsidR="00AE5C70" w:rsidRPr="00AE5C70" w:rsidRDefault="00AE5C70" w:rsidP="00AE5C70">
            <w:pPr>
              <w:spacing w:before="20" w:after="20"/>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4E" w14:textId="77777777" w:rsidR="00AE5C70" w:rsidRPr="00AE5C70" w:rsidRDefault="00AE5C70"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4F" w14:textId="77777777" w:rsidR="00AE5C70" w:rsidRPr="00AE5C70" w:rsidRDefault="00AE5C70"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50" w14:textId="77777777" w:rsidR="00AE5C70" w:rsidRPr="00AE5C70" w:rsidRDefault="00AE5C70" w:rsidP="00AE5C70">
            <w:pPr>
              <w:spacing w:before="20" w:after="20"/>
            </w:pPr>
            <w:r w:rsidRPr="00AE5C70">
              <w:sym w:font="Wingdings" w:char="F0FC"/>
            </w:r>
          </w:p>
        </w:tc>
      </w:tr>
      <w:tr w:rsidR="00AE5C70" w:rsidRPr="00AE5C70" w14:paraId="2D7B555A" w14:textId="77777777" w:rsidTr="00FD0EDB">
        <w:trPr>
          <w:trHeight w:val="345"/>
        </w:trPr>
        <w:tc>
          <w:tcPr>
            <w:tcW w:w="1134" w:type="dxa"/>
            <w:vMerge/>
            <w:tcBorders>
              <w:right w:val="single" w:sz="6" w:space="0" w:color="1F546B" w:themeColor="text2"/>
            </w:tcBorders>
            <w:vAlign w:val="center"/>
          </w:tcPr>
          <w:p w14:paraId="2D7B5552" w14:textId="77777777" w:rsidR="00AE5C70" w:rsidRPr="00AE5C70" w:rsidRDefault="00AE5C70"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53" w14:textId="77777777" w:rsidR="00AE5C70" w:rsidRPr="00AE5C70" w:rsidRDefault="00AE5C70" w:rsidP="00AE5C70">
            <w:pPr>
              <w:spacing w:before="20" w:after="20"/>
              <w:rPr>
                <w:highlight w:val="yellow"/>
              </w:rPr>
            </w:pPr>
            <w:r w:rsidRPr="00AE5C70">
              <w:t>Communications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4" w14:textId="77777777" w:rsidR="00AE5C70" w:rsidRPr="00AE5C70" w:rsidRDefault="00AE5C70"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5" w14:textId="77777777" w:rsidR="00AE5C70" w:rsidRPr="00AE5C70" w:rsidRDefault="00AE5C70"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6" w14:textId="77777777" w:rsidR="00AE5C70" w:rsidRPr="00AE5C70" w:rsidRDefault="00AE5C70" w:rsidP="00AE5C70">
            <w:pPr>
              <w:spacing w:before="20" w:after="20"/>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7" w14:textId="77777777" w:rsidR="00AE5C70" w:rsidRPr="00AE5C70" w:rsidRDefault="00AE5C70"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8" w14:textId="77777777" w:rsidR="00AE5C70" w:rsidRPr="00AE5C70" w:rsidRDefault="00AE5C70"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59" w14:textId="77777777" w:rsidR="00AE5C70" w:rsidRPr="00AE5C70" w:rsidRDefault="007D66A5" w:rsidP="00AE5C70">
            <w:pPr>
              <w:spacing w:before="20" w:after="20"/>
            </w:pPr>
            <w:r w:rsidRPr="007D66A5">
              <w:sym w:font="Wingdings" w:char="F0FC"/>
            </w:r>
          </w:p>
        </w:tc>
      </w:tr>
      <w:tr w:rsidR="00AE5C70" w:rsidRPr="00AE5C70" w14:paraId="2D7B5563" w14:textId="77777777" w:rsidTr="00FD0EDB">
        <w:trPr>
          <w:trHeight w:val="345"/>
        </w:trPr>
        <w:tc>
          <w:tcPr>
            <w:tcW w:w="1134" w:type="dxa"/>
            <w:vMerge/>
            <w:tcBorders>
              <w:right w:val="single" w:sz="6" w:space="0" w:color="1F546B" w:themeColor="text2"/>
            </w:tcBorders>
            <w:vAlign w:val="center"/>
          </w:tcPr>
          <w:p w14:paraId="2D7B555B" w14:textId="77777777" w:rsidR="00AE5C70" w:rsidRPr="00AE5C70" w:rsidRDefault="00AE5C70"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5C" w14:textId="77777777" w:rsidR="00AE5C70" w:rsidRPr="00AE5C70" w:rsidRDefault="00AE5C70" w:rsidP="00AE5C70">
            <w:pPr>
              <w:spacing w:before="20" w:after="20"/>
            </w:pPr>
            <w:r w:rsidRPr="00AE5C70">
              <w:t>Communications teams members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D"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E"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5F" w14:textId="77777777" w:rsidR="00AE5C70" w:rsidRPr="00AE5C70" w:rsidRDefault="00AE5C70" w:rsidP="00AE5C70">
            <w:pPr>
              <w:spacing w:before="20" w:after="20"/>
              <w:rPr>
                <w:highlight w:val="yellow"/>
              </w:rPr>
            </w:pPr>
            <w:r w:rsidRPr="00AE5C7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0"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1" w14:textId="77777777" w:rsidR="00AE5C70" w:rsidRPr="00AE5C70" w:rsidRDefault="00AE5C70" w:rsidP="00AE5C70">
            <w:pPr>
              <w:spacing w:before="20" w:after="20"/>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62" w14:textId="77777777" w:rsidR="00AE5C70" w:rsidRPr="00AE5C70" w:rsidRDefault="007D66A5" w:rsidP="00AE5C70">
            <w:pPr>
              <w:spacing w:before="20" w:after="20"/>
              <w:rPr>
                <w:highlight w:val="yellow"/>
              </w:rPr>
            </w:pPr>
            <w:r w:rsidRPr="007D66A5">
              <w:sym w:font="Wingdings" w:char="F0FC"/>
            </w:r>
          </w:p>
        </w:tc>
      </w:tr>
      <w:tr w:rsidR="00AE5C70" w:rsidRPr="00AE5C70" w14:paraId="2D7B556C" w14:textId="77777777" w:rsidTr="00FD0EDB">
        <w:trPr>
          <w:trHeight w:val="345"/>
        </w:trPr>
        <w:tc>
          <w:tcPr>
            <w:tcW w:w="1134" w:type="dxa"/>
            <w:vMerge/>
            <w:tcBorders>
              <w:right w:val="single" w:sz="6" w:space="0" w:color="1F546B" w:themeColor="text2"/>
            </w:tcBorders>
            <w:vAlign w:val="center"/>
          </w:tcPr>
          <w:p w14:paraId="2D7B5564" w14:textId="77777777" w:rsidR="00AE5C70" w:rsidRPr="00AE5C70" w:rsidRDefault="00AE5C70"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65" w14:textId="77777777" w:rsidR="00AE5C70" w:rsidRPr="00AE5C70" w:rsidRDefault="00AE5C70" w:rsidP="00AE5C70">
            <w:pPr>
              <w:spacing w:before="20" w:after="20"/>
            </w:pPr>
            <w:r w:rsidRPr="00AE5C70">
              <w:t>Branch / Portfolio DCE and senior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6"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7"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8" w14:textId="77777777" w:rsidR="00AE5C70" w:rsidRPr="00AE5C70" w:rsidRDefault="00AE5C70" w:rsidP="00AE5C70">
            <w:pPr>
              <w:spacing w:before="20" w:after="20"/>
              <w:rPr>
                <w:highlight w:val="yellow"/>
              </w:rPr>
            </w:pPr>
            <w:r w:rsidRPr="00AE5C7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9"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A" w14:textId="77777777" w:rsidR="00AE5C70" w:rsidRPr="00AE5C70" w:rsidRDefault="00AE5C70" w:rsidP="00AE5C70">
            <w:pPr>
              <w:spacing w:before="20" w:after="20"/>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6B" w14:textId="77777777" w:rsidR="00AE5C70" w:rsidRPr="00AE5C70" w:rsidRDefault="00AE5C70" w:rsidP="00AE5C70">
            <w:pPr>
              <w:spacing w:before="20" w:after="20"/>
              <w:rPr>
                <w:highlight w:val="yellow"/>
              </w:rPr>
            </w:pPr>
          </w:p>
        </w:tc>
      </w:tr>
      <w:tr w:rsidR="00AE5C70" w:rsidRPr="00AE5C70" w14:paraId="2D7B5575" w14:textId="77777777" w:rsidTr="00FD0EDB">
        <w:trPr>
          <w:trHeight w:val="345"/>
        </w:trPr>
        <w:tc>
          <w:tcPr>
            <w:tcW w:w="1134" w:type="dxa"/>
            <w:vMerge/>
            <w:tcBorders>
              <w:bottom w:val="single" w:sz="6" w:space="0" w:color="1F546B" w:themeColor="text2"/>
              <w:right w:val="single" w:sz="6" w:space="0" w:color="1F546B" w:themeColor="text2"/>
            </w:tcBorders>
            <w:vAlign w:val="center"/>
          </w:tcPr>
          <w:p w14:paraId="2D7B556D" w14:textId="77777777" w:rsidR="00AE5C70" w:rsidRPr="00AE5C70" w:rsidRDefault="00AE5C70"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6E" w14:textId="77777777" w:rsidR="00AE5C70" w:rsidRPr="00AE5C70" w:rsidRDefault="00AE5C70" w:rsidP="00AE5C70">
            <w:pPr>
              <w:spacing w:before="20" w:after="20"/>
            </w:pPr>
            <w:r w:rsidRPr="00AE5C70">
              <w:t>Branch / Portfolio managers and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6F"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0"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1" w14:textId="77777777" w:rsidR="00AE5C70" w:rsidRPr="00AE5C70" w:rsidRDefault="00AE5C70" w:rsidP="00AE5C70">
            <w:pPr>
              <w:spacing w:before="20" w:after="20"/>
              <w:rPr>
                <w:highlight w:val="yellow"/>
              </w:rPr>
            </w:pPr>
            <w:r w:rsidRPr="00AE5C7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2" w14:textId="77777777" w:rsidR="00AE5C70" w:rsidRPr="00AE5C70" w:rsidRDefault="00AE5C70"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3" w14:textId="77777777" w:rsidR="00AE5C70" w:rsidRPr="00AE5C70" w:rsidRDefault="00AE5C70" w:rsidP="00AE5C70">
            <w:pPr>
              <w:spacing w:before="20" w:after="20"/>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74" w14:textId="77777777" w:rsidR="00AE5C70" w:rsidRPr="00AE5C70" w:rsidRDefault="007D66A5" w:rsidP="00AE5C70">
            <w:pPr>
              <w:spacing w:before="20" w:after="20"/>
              <w:rPr>
                <w:highlight w:val="yellow"/>
              </w:rPr>
            </w:pPr>
            <w:r w:rsidRPr="007D66A5">
              <w:sym w:font="Wingdings" w:char="F0FC"/>
            </w:r>
          </w:p>
        </w:tc>
      </w:tr>
      <w:tr w:rsidR="00AE5C70" w:rsidRPr="00AE5C70" w14:paraId="2D7B557E" w14:textId="77777777" w:rsidTr="00FD0EDB">
        <w:trPr>
          <w:trHeight w:val="233"/>
        </w:trPr>
        <w:tc>
          <w:tcPr>
            <w:tcW w:w="1134" w:type="dxa"/>
            <w:vMerge w:val="restart"/>
            <w:tcBorders>
              <w:top w:val="single" w:sz="6" w:space="0" w:color="1F546B" w:themeColor="text2"/>
              <w:right w:val="single" w:sz="6" w:space="0" w:color="1F546B" w:themeColor="text2"/>
            </w:tcBorders>
            <w:vAlign w:val="center"/>
          </w:tcPr>
          <w:p w14:paraId="2D7B5576" w14:textId="77777777" w:rsidR="00AE5C70" w:rsidRPr="00AE5C70" w:rsidRDefault="00AE5C70" w:rsidP="00AE5C70">
            <w:pPr>
              <w:spacing w:before="20" w:after="20"/>
            </w:pPr>
            <w:r w:rsidRPr="00AE5C70">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77" w14:textId="77777777" w:rsidR="00AE5C70" w:rsidRPr="00AE5C70" w:rsidRDefault="00BD67A7" w:rsidP="00AE5C70">
            <w:pPr>
              <w:spacing w:before="20" w:after="20"/>
            </w:pPr>
            <w:r w:rsidRPr="00AE5C70">
              <w:t>External Media</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8" w14:textId="77777777" w:rsidR="00AE5C70" w:rsidRPr="00AE5C70" w:rsidRDefault="00BD67A7"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9" w14:textId="77777777" w:rsidR="00AE5C70" w:rsidRPr="00AE5C70" w:rsidRDefault="007D66A5" w:rsidP="00AE5C70">
            <w:pPr>
              <w:spacing w:before="20" w:after="20"/>
            </w:pPr>
            <w:r w:rsidRPr="007D66A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A" w14:textId="77777777" w:rsidR="00AE5C70" w:rsidRPr="00AE5C70" w:rsidRDefault="00BD67A7" w:rsidP="00AE5C70">
            <w:pPr>
              <w:spacing w:before="20" w:after="20"/>
            </w:pPr>
            <w:r w:rsidRPr="00AE5C7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B" w14:textId="77777777" w:rsidR="00AE5C70" w:rsidRPr="00AE5C70" w:rsidRDefault="00BD67A7"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7C" w14:textId="77777777" w:rsidR="00AE5C70" w:rsidRPr="00AE5C70" w:rsidRDefault="00AE5C70"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7D" w14:textId="77777777" w:rsidR="00AE5C70" w:rsidRPr="00AE5C70" w:rsidRDefault="007D66A5" w:rsidP="00AE5C70">
            <w:pPr>
              <w:spacing w:before="20" w:after="20"/>
            </w:pPr>
            <w:r w:rsidRPr="007D66A5">
              <w:sym w:font="Wingdings" w:char="F0FC"/>
            </w:r>
          </w:p>
        </w:tc>
      </w:tr>
      <w:tr w:rsidR="00BD67A7" w:rsidRPr="00AE5C70" w14:paraId="2D7B5587" w14:textId="77777777" w:rsidTr="00FD0EDB">
        <w:trPr>
          <w:trHeight w:val="233"/>
        </w:trPr>
        <w:tc>
          <w:tcPr>
            <w:tcW w:w="1134" w:type="dxa"/>
            <w:vMerge/>
            <w:tcBorders>
              <w:right w:val="single" w:sz="6" w:space="0" w:color="1F546B" w:themeColor="text2"/>
            </w:tcBorders>
            <w:vAlign w:val="center"/>
          </w:tcPr>
          <w:p w14:paraId="2D7B557F" w14:textId="77777777" w:rsidR="00BD67A7" w:rsidRPr="00AE5C70" w:rsidRDefault="00BD67A7"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80" w14:textId="77777777" w:rsidR="00BD67A7" w:rsidRPr="00AE5C70" w:rsidRDefault="00BD67A7" w:rsidP="00AE5C70">
            <w:pPr>
              <w:spacing w:before="20" w:after="20"/>
              <w:rPr>
                <w:highlight w:val="yellow"/>
              </w:rPr>
            </w:pPr>
            <w:r w:rsidRPr="00AE5C70">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1" w14:textId="77777777" w:rsidR="00BD67A7" w:rsidRPr="00AE5C70" w:rsidRDefault="00BD67A7"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2" w14:textId="77777777" w:rsidR="00BD67A7" w:rsidRPr="00AE5C70" w:rsidRDefault="007D66A5" w:rsidP="00AE5C70">
            <w:pPr>
              <w:spacing w:before="20" w:after="20"/>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3" w14:textId="77777777" w:rsidR="00BD67A7" w:rsidRPr="00AE5C70" w:rsidRDefault="00BD67A7" w:rsidP="00AE5C70">
            <w:pPr>
              <w:spacing w:before="20" w:after="20"/>
            </w:pPr>
            <w:r w:rsidRPr="00AE5C7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4" w14:textId="77777777" w:rsidR="00BD67A7" w:rsidRPr="00AE5C70" w:rsidRDefault="00BD67A7" w:rsidP="00B61E8D">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5" w14:textId="77777777" w:rsidR="00BD67A7" w:rsidRPr="00AE5C70" w:rsidRDefault="00BD67A7" w:rsidP="00AE5C7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86" w14:textId="77777777" w:rsidR="00BD67A7" w:rsidRPr="00AE5C70" w:rsidRDefault="00BD67A7" w:rsidP="00AE5C70">
            <w:pPr>
              <w:spacing w:before="20" w:after="20"/>
            </w:pPr>
          </w:p>
        </w:tc>
      </w:tr>
      <w:tr w:rsidR="00BD67A7" w:rsidRPr="00AE5C70" w14:paraId="2D7B5590" w14:textId="77777777" w:rsidTr="00FD0EDB">
        <w:trPr>
          <w:trHeight w:val="233"/>
        </w:trPr>
        <w:tc>
          <w:tcPr>
            <w:tcW w:w="1134" w:type="dxa"/>
            <w:vMerge/>
            <w:tcBorders>
              <w:bottom w:val="single" w:sz="6" w:space="0" w:color="1F546B" w:themeColor="text2"/>
              <w:right w:val="single" w:sz="6" w:space="0" w:color="1F546B" w:themeColor="text2"/>
            </w:tcBorders>
            <w:vAlign w:val="center"/>
          </w:tcPr>
          <w:p w14:paraId="2D7B5588" w14:textId="77777777" w:rsidR="00BD67A7" w:rsidRPr="00AE5C70" w:rsidRDefault="00BD67A7" w:rsidP="00AE5C70">
            <w:pPr>
              <w:spacing w:before="20" w:after="2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7B5589" w14:textId="77777777" w:rsidR="00BD67A7" w:rsidRPr="00AE5C70" w:rsidRDefault="001643C5" w:rsidP="00AE5C70">
            <w:pPr>
              <w:spacing w:before="20" w:after="20"/>
            </w:pPr>
            <w:proofErr w:type="gramStart"/>
            <w:r>
              <w:t>Ministers</w:t>
            </w:r>
            <w:proofErr w:type="gramEnd"/>
            <w:r>
              <w:t xml:space="preserve">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A" w14:textId="77777777" w:rsidR="00BD67A7" w:rsidRPr="00AE5C70" w:rsidRDefault="001643C5"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B" w14:textId="77777777" w:rsidR="00BD67A7" w:rsidRPr="00AE5C70" w:rsidRDefault="00BD67A7" w:rsidP="00AE5C70">
            <w:pPr>
              <w:spacing w:before="20" w:after="20"/>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C" w14:textId="77777777" w:rsidR="00BD67A7" w:rsidRPr="00AE5C70" w:rsidRDefault="00BD67A7" w:rsidP="00AE5C70">
            <w:pPr>
              <w:spacing w:before="20" w:after="20"/>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D" w14:textId="77777777" w:rsidR="00BD67A7" w:rsidRPr="00AE5C70" w:rsidRDefault="001643C5" w:rsidP="00AE5C70">
            <w:pPr>
              <w:spacing w:before="20" w:after="20"/>
              <w:rPr>
                <w:highlight w:val="yellow"/>
              </w:rPr>
            </w:pPr>
            <w:r w:rsidRPr="00AE5C7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7B558E" w14:textId="77777777" w:rsidR="00BD67A7" w:rsidRPr="00AE5C70" w:rsidRDefault="00BD67A7" w:rsidP="00AE5C70">
            <w:pPr>
              <w:spacing w:before="20" w:after="20"/>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7B558F" w14:textId="77777777" w:rsidR="00BD67A7" w:rsidRPr="00AE5C70" w:rsidRDefault="00BD67A7" w:rsidP="00AE5C70">
            <w:pPr>
              <w:spacing w:before="20" w:after="20"/>
              <w:rPr>
                <w:highlight w:val="yellow"/>
              </w:rPr>
            </w:pPr>
          </w:p>
        </w:tc>
      </w:tr>
    </w:tbl>
    <w:p w14:paraId="2D7B5591" w14:textId="77777777" w:rsidR="00AE5C70" w:rsidRDefault="00AE5C70" w:rsidP="00ED37A7">
      <w:pPr>
        <w:pStyle w:val="Tinyline"/>
      </w:pPr>
    </w:p>
    <w:p w14:paraId="2D7B5592" w14:textId="77777777" w:rsidR="00ED37A7" w:rsidRDefault="00ED37A7" w:rsidP="00ED37A7">
      <w:pPr>
        <w:pStyle w:val="Tinyline"/>
      </w:pPr>
    </w:p>
    <w:p w14:paraId="2D7B5593" w14:textId="77777777" w:rsidR="00ED37A7" w:rsidRDefault="00ED37A7" w:rsidP="00ED37A7">
      <w:pPr>
        <w:pStyle w:val="Tinyline"/>
      </w:pPr>
    </w:p>
    <w:p w14:paraId="2D7B5594"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5"/>
        <w:gridCol w:w="4760"/>
      </w:tblGrid>
      <w:tr w:rsidR="008023C3" w:rsidRPr="008023C3" w14:paraId="2D7B5597"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2D7B5595"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D7B5596" w14:textId="77777777" w:rsidR="008023C3" w:rsidRPr="008023C3" w:rsidRDefault="008023C3" w:rsidP="00B90EE6">
            <w:pPr>
              <w:pStyle w:val="Tableheading"/>
            </w:pPr>
            <w:r w:rsidRPr="008023C3">
              <w:t>What you will bring specifically</w:t>
            </w:r>
          </w:p>
        </w:tc>
      </w:tr>
      <w:tr w:rsidR="008023C3" w:rsidRPr="008023C3" w14:paraId="2D7B55B1" w14:textId="77777777" w:rsidTr="001D30D4">
        <w:tc>
          <w:tcPr>
            <w:tcW w:w="4873" w:type="dxa"/>
            <w:tcBorders>
              <w:top w:val="nil"/>
              <w:left w:val="nil"/>
              <w:bottom w:val="single" w:sz="6" w:space="0" w:color="1F546B" w:themeColor="text2"/>
              <w:right w:val="single" w:sz="6" w:space="0" w:color="1F546B" w:themeColor="text2"/>
            </w:tcBorders>
          </w:tcPr>
          <w:p w14:paraId="2D7B5598"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00820EC3" w:rsidRPr="00E51061">
                <w:rPr>
                  <w:rStyle w:val="Hyperlink"/>
                </w:rPr>
                <w:t>Specialist</w:t>
              </w:r>
            </w:hyperlink>
            <w:r w:rsidR="001D30D4">
              <w:t>.</w:t>
            </w:r>
            <w:r w:rsidRPr="008023C3">
              <w:br/>
            </w:r>
            <w:r w:rsidRPr="008023C3">
              <w:br/>
            </w:r>
            <w:r w:rsidRPr="009E40D1">
              <w:rPr>
                <w:b/>
                <w:bCs/>
              </w:rPr>
              <w:t>Keys to Success:</w:t>
            </w:r>
          </w:p>
          <w:p w14:paraId="2D7B5599" w14:textId="77777777" w:rsidR="00820EC3" w:rsidRDefault="00820EC3" w:rsidP="00820EC3">
            <w:pPr>
              <w:pStyle w:val="Tablebullet"/>
            </w:pPr>
            <w:r>
              <w:t>Problem solving</w:t>
            </w:r>
          </w:p>
          <w:p w14:paraId="2D7B559A" w14:textId="77777777" w:rsidR="00820EC3" w:rsidRDefault="00820EC3" w:rsidP="00820EC3">
            <w:pPr>
              <w:pStyle w:val="Tablebullet"/>
            </w:pPr>
            <w:r>
              <w:t>Critical thinking</w:t>
            </w:r>
          </w:p>
          <w:p w14:paraId="2D7B559B" w14:textId="77777777" w:rsidR="00820EC3" w:rsidRDefault="00820EC3" w:rsidP="00820EC3">
            <w:pPr>
              <w:pStyle w:val="Tablebullet"/>
            </w:pPr>
            <w:r>
              <w:t>Interpersonal savvy</w:t>
            </w:r>
          </w:p>
          <w:p w14:paraId="2D7B559C" w14:textId="77777777" w:rsidR="00820EC3" w:rsidRDefault="00820EC3" w:rsidP="00820EC3">
            <w:pPr>
              <w:pStyle w:val="Tablebullet"/>
            </w:pPr>
            <w:r>
              <w:t>Navigating complexity</w:t>
            </w:r>
          </w:p>
          <w:p w14:paraId="2D7B559D" w14:textId="77777777" w:rsidR="00820EC3" w:rsidRDefault="00820EC3" w:rsidP="00820EC3">
            <w:pPr>
              <w:pStyle w:val="Tablebullet"/>
            </w:pPr>
            <w:r>
              <w:t>Communicating with influence</w:t>
            </w:r>
          </w:p>
          <w:p w14:paraId="2D7B559E" w14:textId="77777777"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2D7B559F" w14:textId="77777777" w:rsidR="008023C3" w:rsidRPr="001D30D4" w:rsidRDefault="008023C3" w:rsidP="001D30D4">
            <w:pPr>
              <w:pStyle w:val="Tablenormal0"/>
              <w:rPr>
                <w:b/>
                <w:bCs/>
              </w:rPr>
            </w:pPr>
            <w:r w:rsidRPr="001D30D4">
              <w:rPr>
                <w:b/>
                <w:bCs/>
              </w:rPr>
              <w:t xml:space="preserve">Experience: </w:t>
            </w:r>
          </w:p>
          <w:p w14:paraId="2D7B55A0" w14:textId="77777777" w:rsidR="008E0B2A" w:rsidRDefault="008E0B2A" w:rsidP="008E0B2A">
            <w:pPr>
              <w:pStyle w:val="Tablebullet"/>
            </w:pPr>
            <w:r>
              <w:t>Prior</w:t>
            </w:r>
            <w:r w:rsidRPr="008E0B2A">
              <w:t xml:space="preserve"> experience in de</w:t>
            </w:r>
            <w:r w:rsidR="007D66A5">
              <w:t>veloping and executing business-</w:t>
            </w:r>
            <w:r w:rsidRPr="008E0B2A">
              <w:t>aligned communications strategies and plans</w:t>
            </w:r>
          </w:p>
          <w:p w14:paraId="2D7B55A1" w14:textId="77777777" w:rsidR="008E0B2A" w:rsidRPr="008E0B2A" w:rsidRDefault="008E0B2A" w:rsidP="008E0B2A">
            <w:pPr>
              <w:pStyle w:val="Tablebullet"/>
            </w:pPr>
            <w:r w:rsidRPr="008E0B2A">
              <w:t xml:space="preserve">Proven experience in managing </w:t>
            </w:r>
            <w:r w:rsidR="00236278">
              <w:t xml:space="preserve">and influencing </w:t>
            </w:r>
            <w:r w:rsidRPr="008E0B2A">
              <w:t>senior stakeholders, both internal and external</w:t>
            </w:r>
          </w:p>
          <w:p w14:paraId="2D7B55A2" w14:textId="77777777" w:rsidR="008023C3" w:rsidRPr="001D30D4" w:rsidRDefault="00BC23F7" w:rsidP="001D30D4">
            <w:pPr>
              <w:pStyle w:val="Tablebullet"/>
            </w:pPr>
            <w:r>
              <w:t xml:space="preserve">Prior experience in </w:t>
            </w:r>
            <w:r w:rsidR="007536FF">
              <w:t>engaging with</w:t>
            </w:r>
            <w:r>
              <w:t xml:space="preserve"> media and social media</w:t>
            </w:r>
          </w:p>
          <w:p w14:paraId="2D7B55A3" w14:textId="77777777" w:rsidR="008023C3" w:rsidRPr="001D30D4" w:rsidRDefault="008023C3" w:rsidP="001D30D4">
            <w:pPr>
              <w:pStyle w:val="Tablenormal0"/>
              <w:rPr>
                <w:b/>
                <w:bCs/>
              </w:rPr>
            </w:pPr>
            <w:r w:rsidRPr="001D30D4">
              <w:rPr>
                <w:b/>
                <w:bCs/>
              </w:rPr>
              <w:t>Knowledge:</w:t>
            </w:r>
          </w:p>
          <w:p w14:paraId="2D7B55A4" w14:textId="77777777" w:rsidR="00AE5C70" w:rsidRDefault="00BC23F7" w:rsidP="00AE5C70">
            <w:pPr>
              <w:pStyle w:val="Tablebullet"/>
            </w:pPr>
            <w:r>
              <w:t>S</w:t>
            </w:r>
            <w:r w:rsidR="00245629">
              <w:t>trong</w:t>
            </w:r>
            <w:r>
              <w:t xml:space="preserve"> kn</w:t>
            </w:r>
            <w:r w:rsidR="00245629">
              <w:t>owledge of</w:t>
            </w:r>
            <w:r w:rsidR="00AE5C70">
              <w:t xml:space="preserve"> </w:t>
            </w:r>
            <w:r w:rsidR="00245629">
              <w:t xml:space="preserve">communications </w:t>
            </w:r>
            <w:r w:rsidR="00AE5C70">
              <w:t>principles and frameworks</w:t>
            </w:r>
          </w:p>
          <w:p w14:paraId="2D7B55A5" w14:textId="77777777" w:rsidR="008023C3" w:rsidRPr="001D30D4" w:rsidRDefault="00AE5C70" w:rsidP="00AE5C70">
            <w:pPr>
              <w:pStyle w:val="Tablebullet"/>
            </w:pPr>
            <w:r>
              <w:t>A</w:t>
            </w:r>
            <w:r w:rsidR="007D66A5">
              <w:t>n</w:t>
            </w:r>
            <w:r>
              <w:t xml:space="preserve"> understanding of government structures and processes </w:t>
            </w:r>
          </w:p>
          <w:p w14:paraId="2D7B55A6" w14:textId="77777777" w:rsidR="008023C3" w:rsidRPr="001D30D4" w:rsidRDefault="008023C3" w:rsidP="001D30D4">
            <w:pPr>
              <w:pStyle w:val="Tablenormal0"/>
              <w:rPr>
                <w:b/>
                <w:bCs/>
              </w:rPr>
            </w:pPr>
            <w:r w:rsidRPr="001D30D4">
              <w:rPr>
                <w:b/>
                <w:bCs/>
              </w:rPr>
              <w:t>Skills:</w:t>
            </w:r>
          </w:p>
          <w:p w14:paraId="2D7B55A7" w14:textId="77777777" w:rsidR="00236278" w:rsidRDefault="00236278" w:rsidP="008E0B2A">
            <w:pPr>
              <w:pStyle w:val="Tablebullet"/>
            </w:pPr>
            <w:r>
              <w:t xml:space="preserve">The ability to develop a deep understanding of the </w:t>
            </w:r>
            <w:r w:rsidR="00BC23F7">
              <w:t>business</w:t>
            </w:r>
            <w:r w:rsidR="00BD67A7">
              <w:t xml:space="preserve"> and its operating context</w:t>
            </w:r>
            <w:r>
              <w:t xml:space="preserve"> </w:t>
            </w:r>
          </w:p>
          <w:p w14:paraId="2D7B55A8" w14:textId="77777777" w:rsidR="008E0B2A" w:rsidRDefault="00236278" w:rsidP="008E0B2A">
            <w:pPr>
              <w:pStyle w:val="Tablebullet"/>
            </w:pPr>
            <w:r>
              <w:t>The ability to think critically and strategically about issues and develop fit for purpose solutions</w:t>
            </w:r>
          </w:p>
          <w:p w14:paraId="2D7B55A9" w14:textId="77777777" w:rsidR="00BC23F7" w:rsidRDefault="00BC23F7" w:rsidP="008E0B2A">
            <w:pPr>
              <w:pStyle w:val="Tablebullet"/>
            </w:pPr>
            <w:r>
              <w:t xml:space="preserve">The ability </w:t>
            </w:r>
            <w:r w:rsidR="007536FF">
              <w:t>interpret</w:t>
            </w:r>
            <w:r w:rsidR="00236278">
              <w:t xml:space="preserve"> data </w:t>
            </w:r>
            <w:r>
              <w:t>to understand audience needs and tailor the communications approach</w:t>
            </w:r>
            <w:r w:rsidR="00236278">
              <w:t xml:space="preserve"> accordingly</w:t>
            </w:r>
          </w:p>
          <w:p w14:paraId="2D7B55AA" w14:textId="77777777" w:rsidR="008E0B2A" w:rsidRDefault="008E0B2A" w:rsidP="008E0B2A">
            <w:pPr>
              <w:pStyle w:val="Tablebullet"/>
            </w:pPr>
            <w:r>
              <w:t>The ability to work at all levels of organisations and to relate to and gain the confidence of stakeholders</w:t>
            </w:r>
          </w:p>
          <w:p w14:paraId="2D7B55AB" w14:textId="77777777" w:rsidR="008E0B2A" w:rsidRDefault="008E0B2A" w:rsidP="00BC23F7">
            <w:pPr>
              <w:pStyle w:val="Tablebullet"/>
            </w:pPr>
            <w:proofErr w:type="spellStart"/>
            <w:r>
              <w:t>Well developed</w:t>
            </w:r>
            <w:proofErr w:type="spellEnd"/>
            <w:r>
              <w:t xml:space="preserve"> influencing and negotiations skills</w:t>
            </w:r>
          </w:p>
          <w:p w14:paraId="2D7B55AC" w14:textId="77777777" w:rsidR="00BC23F7" w:rsidRDefault="00BC23F7" w:rsidP="008E0B2A">
            <w:pPr>
              <w:pStyle w:val="Tablebullet"/>
            </w:pPr>
            <w:r>
              <w:t xml:space="preserve">Strong </w:t>
            </w:r>
            <w:r w:rsidR="008E0B2A">
              <w:t>plan</w:t>
            </w:r>
            <w:r>
              <w:t>ning and organisational management skills</w:t>
            </w:r>
          </w:p>
          <w:p w14:paraId="2D7B55AD" w14:textId="77777777" w:rsidR="00236278" w:rsidRPr="00236278" w:rsidRDefault="00236278" w:rsidP="00236278">
            <w:pPr>
              <w:pStyle w:val="Tablebullet"/>
            </w:pPr>
            <w:r w:rsidRPr="00236278">
              <w:t>The ability to coach others to communicate effectively in public forums and with stakeholders</w:t>
            </w:r>
          </w:p>
          <w:p w14:paraId="2D7B55AE" w14:textId="77777777" w:rsidR="008E0B2A" w:rsidRDefault="00236278" w:rsidP="008E0B2A">
            <w:pPr>
              <w:pStyle w:val="Tablebullet"/>
            </w:pPr>
            <w:r>
              <w:t>P</w:t>
            </w:r>
            <w:r w:rsidR="008E0B2A">
              <w:t>roven oral and written communication skills</w:t>
            </w:r>
          </w:p>
          <w:p w14:paraId="2D7B55AF" w14:textId="77777777" w:rsidR="008023C3" w:rsidRPr="001D30D4" w:rsidRDefault="008023C3" w:rsidP="001D30D4">
            <w:pPr>
              <w:pStyle w:val="Tablenormal0"/>
              <w:rPr>
                <w:b/>
                <w:bCs/>
              </w:rPr>
            </w:pPr>
            <w:r w:rsidRPr="001D30D4">
              <w:rPr>
                <w:b/>
                <w:bCs/>
              </w:rPr>
              <w:t>Other requirements:</w:t>
            </w:r>
          </w:p>
          <w:p w14:paraId="2D7B55B0" w14:textId="77777777" w:rsidR="008023C3" w:rsidRPr="001D30D4" w:rsidRDefault="001643C5" w:rsidP="001D30D4">
            <w:pPr>
              <w:pStyle w:val="Tablebullet"/>
            </w:pPr>
            <w:r>
              <w:t xml:space="preserve">A relevant tertiary qualification or </w:t>
            </w:r>
            <w:r>
              <w:lastRenderedPageBreak/>
              <w:t>equivalent</w:t>
            </w:r>
            <w:r w:rsidR="007D66A5">
              <w:t xml:space="preserve"> professional</w:t>
            </w:r>
            <w:r>
              <w:t xml:space="preserve"> experience</w:t>
            </w:r>
          </w:p>
        </w:tc>
      </w:tr>
    </w:tbl>
    <w:p w14:paraId="2D7B55B2"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55BA" w14:textId="77777777" w:rsidR="00245629" w:rsidRDefault="00245629">
      <w:r>
        <w:separator/>
      </w:r>
    </w:p>
    <w:p w14:paraId="2D7B55BB" w14:textId="77777777" w:rsidR="00245629" w:rsidRDefault="00245629"/>
    <w:p w14:paraId="2D7B55BC" w14:textId="77777777" w:rsidR="00245629" w:rsidRDefault="00245629"/>
  </w:endnote>
  <w:endnote w:type="continuationSeparator" w:id="0">
    <w:p w14:paraId="2D7B55BD" w14:textId="77777777" w:rsidR="00245629" w:rsidRDefault="00245629">
      <w:r>
        <w:continuationSeparator/>
      </w:r>
    </w:p>
    <w:p w14:paraId="2D7B55BE" w14:textId="77777777" w:rsidR="00245629" w:rsidRDefault="00245629"/>
    <w:p w14:paraId="2D7B55BF" w14:textId="77777777" w:rsidR="00245629" w:rsidRDefault="00245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5C2" w14:textId="77777777" w:rsidR="00245629" w:rsidRDefault="00245629"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5052F3">
      <w:rPr>
        <w:noProof/>
      </w:rPr>
      <w:t>2</w:t>
    </w:r>
    <w:r>
      <w:fldChar w:fldCharType="end"/>
    </w:r>
    <w:r>
      <w:t xml:space="preserve"> of </w:t>
    </w:r>
    <w:fldSimple w:instr=" NUMPAGES   \* MERGEFORMAT ">
      <w:r w:rsidR="005052F3">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5C4" w14:textId="7405A658" w:rsidR="00245629" w:rsidRDefault="005052F3"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17CB7F4C" wp14:editId="3AF9CDA2">
          <wp:simplePos x="0" y="0"/>
          <wp:positionH relativeFrom="column">
            <wp:posOffset>4419600</wp:posOffset>
          </wp:positionH>
          <wp:positionV relativeFrom="paragraph">
            <wp:posOffset>-353060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55B5" w14:textId="77777777" w:rsidR="00245629" w:rsidRDefault="00245629" w:rsidP="00FB1990">
      <w:pPr>
        <w:pStyle w:val="Spacer"/>
      </w:pPr>
      <w:r>
        <w:separator/>
      </w:r>
    </w:p>
    <w:p w14:paraId="2D7B55B6" w14:textId="77777777" w:rsidR="00245629" w:rsidRDefault="00245629" w:rsidP="00FB1990">
      <w:pPr>
        <w:pStyle w:val="Spacer"/>
      </w:pPr>
    </w:p>
  </w:footnote>
  <w:footnote w:type="continuationSeparator" w:id="0">
    <w:p w14:paraId="2D7B55B7" w14:textId="77777777" w:rsidR="00245629" w:rsidRDefault="00245629">
      <w:r>
        <w:continuationSeparator/>
      </w:r>
    </w:p>
    <w:p w14:paraId="2D7B55B8" w14:textId="77777777" w:rsidR="00245629" w:rsidRDefault="00245629"/>
    <w:p w14:paraId="2D7B55B9" w14:textId="77777777" w:rsidR="00245629" w:rsidRDefault="00245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5C0" w14:textId="77777777" w:rsidR="00245629" w:rsidRPr="00CD3498" w:rsidRDefault="00245629" w:rsidP="003F1357">
    <w:pPr>
      <w:pStyle w:val="Header"/>
      <w:tabs>
        <w:tab w:val="right" w:pos="9639"/>
      </w:tabs>
    </w:pPr>
    <w:r w:rsidRPr="00CD3498">
      <w:tab/>
      <w:t>The Department of Internal Affairs</w:t>
    </w:r>
  </w:p>
  <w:p w14:paraId="2D7B55C1" w14:textId="77777777" w:rsidR="00245629" w:rsidRPr="00952122" w:rsidRDefault="00245629"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5C3" w14:textId="77777777" w:rsidR="00245629" w:rsidRDefault="00245629">
    <w:pPr>
      <w:pStyle w:val="Header"/>
    </w:pPr>
    <w:r>
      <w:rPr>
        <w:noProof/>
        <w:lang w:eastAsia="en-NZ"/>
      </w:rPr>
      <w:drawing>
        <wp:anchor distT="0" distB="0" distL="114300" distR="114300" simplePos="0" relativeHeight="251660288" behindDoc="0" locked="0" layoutInCell="1" allowOverlap="1" wp14:anchorId="2D7B55C5" wp14:editId="2D7B55C6">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BC6282"/>
    <w:multiLevelType w:val="hybridMultilevel"/>
    <w:tmpl w:val="E4D8D7F2"/>
    <w:lvl w:ilvl="0" w:tplc="52FAA656">
      <w:numFmt w:val="bullet"/>
      <w:lvlText w:val="•"/>
      <w:lvlJc w:val="left"/>
      <w:pPr>
        <w:ind w:left="57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9D04E0"/>
    <w:multiLevelType w:val="hybridMultilevel"/>
    <w:tmpl w:val="7C98403A"/>
    <w:lvl w:ilvl="0" w:tplc="739A6C5C">
      <w:numFmt w:val="bullet"/>
      <w:lvlText w:val="•"/>
      <w:lvlJc w:val="left"/>
      <w:pPr>
        <w:ind w:left="570" w:hanging="570"/>
      </w:pPr>
      <w:rPr>
        <w:rFonts w:ascii="Calibri" w:eastAsiaTheme="minorHAns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8F6DB7"/>
    <w:multiLevelType w:val="hybridMultilevel"/>
    <w:tmpl w:val="4E8A96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C43EA2"/>
    <w:multiLevelType w:val="hybridMultilevel"/>
    <w:tmpl w:val="21448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92F7575"/>
    <w:multiLevelType w:val="hybridMultilevel"/>
    <w:tmpl w:val="C27EDE56"/>
    <w:lvl w:ilvl="0" w:tplc="52FAA656">
      <w:numFmt w:val="bullet"/>
      <w:lvlText w:val="•"/>
      <w:lvlJc w:val="left"/>
      <w:pPr>
        <w:ind w:left="570" w:hanging="570"/>
      </w:pPr>
      <w:rPr>
        <w:rFonts w:ascii="Calibri" w:eastAsiaTheme="minorHAns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3"/>
  </w:num>
  <w:num w:numId="9">
    <w:abstractNumId w:val="16"/>
  </w:num>
  <w:num w:numId="10">
    <w:abstractNumId w:val="11"/>
  </w:num>
  <w:num w:numId="11">
    <w:abstractNumId w:val="24"/>
  </w:num>
  <w:num w:numId="12">
    <w:abstractNumId w:val="26"/>
  </w:num>
  <w:num w:numId="13">
    <w:abstractNumId w:val="29"/>
  </w:num>
  <w:num w:numId="14">
    <w:abstractNumId w:val="8"/>
  </w:num>
  <w:num w:numId="15">
    <w:abstractNumId w:val="14"/>
  </w:num>
  <w:num w:numId="16">
    <w:abstractNumId w:val="30"/>
  </w:num>
  <w:num w:numId="17">
    <w:abstractNumId w:val="28"/>
  </w:num>
  <w:num w:numId="18">
    <w:abstractNumId w:val="25"/>
  </w:num>
  <w:num w:numId="19">
    <w:abstractNumId w:val="19"/>
  </w:num>
  <w:num w:numId="20">
    <w:abstractNumId w:val="15"/>
  </w:num>
  <w:num w:numId="21">
    <w:abstractNumId w:val="10"/>
  </w:num>
  <w:num w:numId="22">
    <w:abstractNumId w:val="6"/>
  </w:num>
  <w:num w:numId="23">
    <w:abstractNumId w:val="12"/>
  </w:num>
  <w:num w:numId="24">
    <w:abstractNumId w:val="9"/>
  </w:num>
  <w:num w:numId="25">
    <w:abstractNumId w:val="22"/>
  </w:num>
  <w:num w:numId="26">
    <w:abstractNumId w:val="21"/>
  </w:num>
  <w:num w:numId="27">
    <w:abstractNumId w:val="24"/>
  </w:num>
  <w:num w:numId="28">
    <w:abstractNumId w:val="26"/>
  </w:num>
  <w:num w:numId="29">
    <w:abstractNumId w:val="24"/>
  </w:num>
  <w:num w:numId="30">
    <w:abstractNumId w:val="24"/>
  </w:num>
  <w:num w:numId="31">
    <w:abstractNumId w:val="26"/>
  </w:num>
  <w:num w:numId="32">
    <w:abstractNumId w:val="26"/>
  </w:num>
  <w:num w:numId="33">
    <w:abstractNumId w:val="26"/>
  </w:num>
  <w:num w:numId="34">
    <w:abstractNumId w:val="18"/>
  </w:num>
  <w:num w:numId="35">
    <w:abstractNumId w:val="27"/>
  </w:num>
  <w:num w:numId="36">
    <w:abstractNumId w:val="26"/>
  </w:num>
  <w:num w:numId="37">
    <w:abstractNumId w:val="26"/>
  </w:num>
  <w:num w:numId="38">
    <w:abstractNumId w:val="7"/>
  </w:num>
  <w:num w:numId="39">
    <w:abstractNumId w:val="13"/>
  </w:num>
  <w:num w:numId="40">
    <w:abstractNumId w:val="26"/>
  </w:num>
  <w:num w:numId="41">
    <w:abstractNumId w:val="26"/>
  </w:num>
  <w:num w:numId="42">
    <w:abstractNumId w:val="26"/>
  </w:num>
  <w:num w:numId="43">
    <w:abstractNumId w:val="26"/>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59"/>
    <w:rsid w:val="0000001E"/>
    <w:rsid w:val="00003360"/>
    <w:rsid w:val="00003ED3"/>
    <w:rsid w:val="00003FC7"/>
    <w:rsid w:val="00005919"/>
    <w:rsid w:val="00007C42"/>
    <w:rsid w:val="00012D48"/>
    <w:rsid w:val="00015020"/>
    <w:rsid w:val="0001647B"/>
    <w:rsid w:val="00020010"/>
    <w:rsid w:val="00034673"/>
    <w:rsid w:val="00036671"/>
    <w:rsid w:val="00037226"/>
    <w:rsid w:val="000409E2"/>
    <w:rsid w:val="00044954"/>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43C5"/>
    <w:rsid w:val="001676BD"/>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6278"/>
    <w:rsid w:val="00237A3D"/>
    <w:rsid w:val="00240E83"/>
    <w:rsid w:val="00245629"/>
    <w:rsid w:val="002502D1"/>
    <w:rsid w:val="00255E1D"/>
    <w:rsid w:val="00260A17"/>
    <w:rsid w:val="00265F69"/>
    <w:rsid w:val="00267EDC"/>
    <w:rsid w:val="00270EEC"/>
    <w:rsid w:val="0027133E"/>
    <w:rsid w:val="00272C04"/>
    <w:rsid w:val="002777D8"/>
    <w:rsid w:val="002806A2"/>
    <w:rsid w:val="00285621"/>
    <w:rsid w:val="00297CC7"/>
    <w:rsid w:val="002A194F"/>
    <w:rsid w:val="002A4BD9"/>
    <w:rsid w:val="002A4FE7"/>
    <w:rsid w:val="002B1CEB"/>
    <w:rsid w:val="002C71C6"/>
    <w:rsid w:val="002D3125"/>
    <w:rsid w:val="002D4F42"/>
    <w:rsid w:val="0030084C"/>
    <w:rsid w:val="003039E1"/>
    <w:rsid w:val="00311ED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52F3"/>
    <w:rsid w:val="005078B7"/>
    <w:rsid w:val="00510D73"/>
    <w:rsid w:val="00512ACB"/>
    <w:rsid w:val="0052216D"/>
    <w:rsid w:val="00526115"/>
    <w:rsid w:val="00533FAF"/>
    <w:rsid w:val="00535DF5"/>
    <w:rsid w:val="005366B6"/>
    <w:rsid w:val="00554BCD"/>
    <w:rsid w:val="00555F60"/>
    <w:rsid w:val="005577E4"/>
    <w:rsid w:val="005605A5"/>
    <w:rsid w:val="00560B3C"/>
    <w:rsid w:val="00561A97"/>
    <w:rsid w:val="00563DAC"/>
    <w:rsid w:val="005675E0"/>
    <w:rsid w:val="00567859"/>
    <w:rsid w:val="00570A71"/>
    <w:rsid w:val="00570C00"/>
    <w:rsid w:val="00576AAA"/>
    <w:rsid w:val="0058206B"/>
    <w:rsid w:val="005848D3"/>
    <w:rsid w:val="00585690"/>
    <w:rsid w:val="00594AAA"/>
    <w:rsid w:val="00595B33"/>
    <w:rsid w:val="0059662F"/>
    <w:rsid w:val="00596858"/>
    <w:rsid w:val="005A2652"/>
    <w:rsid w:val="005B7254"/>
    <w:rsid w:val="005C1C48"/>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36FF"/>
    <w:rsid w:val="00755142"/>
    <w:rsid w:val="00756BB7"/>
    <w:rsid w:val="0075764B"/>
    <w:rsid w:val="00760C01"/>
    <w:rsid w:val="00761293"/>
    <w:rsid w:val="00767C04"/>
    <w:rsid w:val="007736A2"/>
    <w:rsid w:val="007A6226"/>
    <w:rsid w:val="007B3C61"/>
    <w:rsid w:val="007D1918"/>
    <w:rsid w:val="007D66A5"/>
    <w:rsid w:val="007F03F2"/>
    <w:rsid w:val="008023C3"/>
    <w:rsid w:val="008031DF"/>
    <w:rsid w:val="008043E0"/>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92D1B"/>
    <w:rsid w:val="008B7B54"/>
    <w:rsid w:val="008C3187"/>
    <w:rsid w:val="008C5E4F"/>
    <w:rsid w:val="008D3977"/>
    <w:rsid w:val="008D63B7"/>
    <w:rsid w:val="008D6A03"/>
    <w:rsid w:val="008D6CA7"/>
    <w:rsid w:val="008E0B2A"/>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B5752"/>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67F5"/>
    <w:rsid w:val="00A97BFB"/>
    <w:rsid w:val="00AA4197"/>
    <w:rsid w:val="00AB0BBC"/>
    <w:rsid w:val="00AB3A92"/>
    <w:rsid w:val="00AB478B"/>
    <w:rsid w:val="00AB47AC"/>
    <w:rsid w:val="00AB4AD9"/>
    <w:rsid w:val="00AD6E77"/>
    <w:rsid w:val="00AD7A25"/>
    <w:rsid w:val="00AD7BF3"/>
    <w:rsid w:val="00AE2666"/>
    <w:rsid w:val="00AE5C70"/>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1E8D"/>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23F7"/>
    <w:rsid w:val="00BC45F7"/>
    <w:rsid w:val="00BC6A06"/>
    <w:rsid w:val="00BD137C"/>
    <w:rsid w:val="00BD1656"/>
    <w:rsid w:val="00BD67A7"/>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3ED8"/>
    <w:rsid w:val="00C9532B"/>
    <w:rsid w:val="00C96BFD"/>
    <w:rsid w:val="00C96C98"/>
    <w:rsid w:val="00C974CE"/>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B6D79"/>
    <w:rsid w:val="00DC5870"/>
    <w:rsid w:val="00DD0384"/>
    <w:rsid w:val="00DD0901"/>
    <w:rsid w:val="00DD4AB0"/>
    <w:rsid w:val="00DE16B6"/>
    <w:rsid w:val="00DE3323"/>
    <w:rsid w:val="00DE36CA"/>
    <w:rsid w:val="00DE7E63"/>
    <w:rsid w:val="00DF5AA8"/>
    <w:rsid w:val="00DF77A2"/>
    <w:rsid w:val="00E02A8B"/>
    <w:rsid w:val="00E25650"/>
    <w:rsid w:val="00E367C5"/>
    <w:rsid w:val="00E37E71"/>
    <w:rsid w:val="00E42486"/>
    <w:rsid w:val="00E42847"/>
    <w:rsid w:val="00E44D1D"/>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2D91"/>
    <w:rsid w:val="00ED37A7"/>
    <w:rsid w:val="00ED4356"/>
    <w:rsid w:val="00ED7681"/>
    <w:rsid w:val="00EE243C"/>
    <w:rsid w:val="00EF63C6"/>
    <w:rsid w:val="00F034FB"/>
    <w:rsid w:val="00F05606"/>
    <w:rsid w:val="00F105F5"/>
    <w:rsid w:val="00F1075A"/>
    <w:rsid w:val="00F22E82"/>
    <w:rsid w:val="00F2483A"/>
    <w:rsid w:val="00F337BF"/>
    <w:rsid w:val="00F33D14"/>
    <w:rsid w:val="00F46374"/>
    <w:rsid w:val="00F473B6"/>
    <w:rsid w:val="00F52E57"/>
    <w:rsid w:val="00F53E06"/>
    <w:rsid w:val="00F54188"/>
    <w:rsid w:val="00F54CC0"/>
    <w:rsid w:val="00F727A5"/>
    <w:rsid w:val="00F7360E"/>
    <w:rsid w:val="00F847A9"/>
    <w:rsid w:val="00FA5FE9"/>
    <w:rsid w:val="00FA67D2"/>
    <w:rsid w:val="00FB1990"/>
    <w:rsid w:val="00FB302F"/>
    <w:rsid w:val="00FB5A92"/>
    <w:rsid w:val="00FC1C69"/>
    <w:rsid w:val="00FC3739"/>
    <w:rsid w:val="00FD0EDB"/>
    <w:rsid w:val="00FE2F6B"/>
    <w:rsid w:val="00FE5AD9"/>
    <w:rsid w:val="00FE7A33"/>
    <w:rsid w:val="00FF3414"/>
    <w:rsid w:val="46F8D434"/>
    <w:rsid w:val="665727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7B54E5"/>
  <w15:docId w15:val="{EBC5FD17-9897-48D2-8752-88502BB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table" w:customStyle="1" w:styleId="Blanktable1">
    <w:name w:val="Blank table1"/>
    <w:basedOn w:val="TableNormal"/>
    <w:uiPriority w:val="99"/>
    <w:rsid w:val="00AE5C70"/>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Specialist_v7/$file/DIA_Profile_Specialist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482A628A63AB44B83B8990687782692" ma:contentTypeVersion="7" ma:contentTypeDescription="Administration Document" ma:contentTypeScope="" ma:versionID="4f5257bc43e884425cc7613ac4a88147">
  <xsd:schema xmlns:xsd="http://www.w3.org/2001/XMLSchema" xmlns:xs="http://www.w3.org/2001/XMLSchema" xmlns:p="http://schemas.microsoft.com/office/2006/metadata/properties" xmlns:ns3="01be4277-2979-4a68-876d-b92b25fceece" xmlns:ns4="555e247f-9e7a-40ca-99ce-2fe17982918f" targetNamespace="http://schemas.microsoft.com/office/2006/metadata/properties" ma:root="true" ma:fieldsID="e25aa1004b3aab0309f51d8a0de4d84c" ns3:_="" ns4:_="">
    <xsd:import namespace="01be4277-2979-4a68-876d-b92b25fceece"/>
    <xsd:import namespace="555e247f-9e7a-40ca-99ce-2fe17982918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770486c9954e4cb6e50d3700141f66" minOccurs="0"/>
                <xsd:element ref="ns4:i6dbb754468f4de58736ad32420d3c9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fbbd79f-8cb9-4d2a-8a46-022780abcc18" ma:anchorId="8ffb3f15-a24e-4dfc-99d9-42ad317de78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5e247f-9e7a-40ca-99ce-2fe17982918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23444ae-2685-4f3b-8655-21122fd46623}" ma:internalName="TaxCatchAll" ma:showField="CatchAllData"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23444ae-2685-4f3b-8655-21122fd46623}" ma:internalName="TaxCatchAllLabel" ma:readOnly="true" ma:showField="CatchAllDataLabel"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i3770486c9954e4cb6e50d3700141f66" ma:index="14" ma:taxonomy="true" ma:internalName="i3770486c9954e4cb6e50d3700141f66" ma:taxonomyFieldName="DIAAdministrationDocumentType" ma:displayName="Administration Document Type" ma:fieldId="{23770486-c995-4e4c-b6e5-0d3700141f6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6dbb754468f4de58736ad32420d3c9d" ma:index="16" ma:taxonomy="true" ma:internalName="i6dbb754468f4de58736ad32420d3c9d" ma:taxonomyFieldName="DIASecurityClassification" ma:displayName="Security Classification" ma:default="2;#UNCLASSIFIED|875d92a8-67e2-4a32-9472-8fe99549e1eb" ma:fieldId="{26dbb754-468f-4de5-8736-ad32420d3c9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5e247f-9e7a-40ca-99ce-2fe17982918f" xsi:nil="true"/>
    <_dlc_DocId xmlns="555e247f-9e7a-40ca-99ce-2fe17982918f">CDJP5M5KY7XF-1222576612-380</_dlc_DocId>
    <TaxCatchAll xmlns="555e247f-9e7a-40ca-99ce-2fe17982918f">
      <Value>2</Value>
      <Value>1</Value>
      <Value>70</Value>
    </TaxCatchAll>
    <_dlc_DocIdUrl xmlns="555e247f-9e7a-40ca-99ce-2fe17982918f">
      <Url>https://dia.cohesion.net.nz/Sites/PPP/PROG/PNM/_layouts/15/DocIdRedir.aspx?ID=CDJP5M5KY7XF-1222576612-380</Url>
      <Description>CDJP5M5KY7XF-1222576612-380</Description>
    </_dlc_DocIdUrl>
    <TaxKeywordTaxHTField xmlns="555e247f-9e7a-40ca-99ce-2fe17982918f">
      <Terms xmlns="http://schemas.microsoft.com/office/infopath/2007/PartnerControls"/>
    </TaxKeywordTaxHTField>
    <i6dbb754468f4de58736ad32420d3c9d xmlns="555e247f-9e7a-40ca-99ce-2fe1798291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6dbb754468f4de58736ad32420d3c9d>
    <i3770486c9954e4cb6e50d3700141f66 xmlns="555e247f-9e7a-40ca-99ce-2fe17982918f">
      <Terms xmlns="http://schemas.microsoft.com/office/infopath/2007/PartnerControls">
        <TermInfo xmlns="http://schemas.microsoft.com/office/infopath/2007/PartnerControls">
          <TermName xmlns="http://schemas.microsoft.com/office/infopath/2007/PartnerControls">File Note</TermName>
          <TermId xmlns="http://schemas.microsoft.com/office/infopath/2007/PartnerControls">06552b83-931f-4d37-ba50-54ee8038dfde</TermId>
        </TermInfo>
      </Terms>
    </i3770486c9954e4cb6e50d3700141f6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DC03-97F2-43DB-A0E3-DF8FED5181A4}">
  <ds:schemaRefs>
    <ds:schemaRef ds:uri="http://schemas.microsoft.com/sharepoint/events"/>
  </ds:schemaRefs>
</ds:datastoreItem>
</file>

<file path=customXml/itemProps2.xml><?xml version="1.0" encoding="utf-8"?>
<ds:datastoreItem xmlns:ds="http://schemas.openxmlformats.org/officeDocument/2006/customXml" ds:itemID="{84442C75-1911-46B0-BFC0-26D63DFC294A}"/>
</file>

<file path=customXml/itemProps3.xml><?xml version="1.0" encoding="utf-8"?>
<ds:datastoreItem xmlns:ds="http://schemas.openxmlformats.org/officeDocument/2006/customXml" ds:itemID="{0BE1EF3A-D78B-48E8-B5BB-09A4EC5FF31F}">
  <ds:schemaRefs>
    <ds:schemaRef ds:uri="http://schemas.microsoft.com/sharepoint/v3/contenttype/forms"/>
  </ds:schemaRefs>
</ds:datastoreItem>
</file>

<file path=customXml/itemProps4.xml><?xml version="1.0" encoding="utf-8"?>
<ds:datastoreItem xmlns:ds="http://schemas.openxmlformats.org/officeDocument/2006/customXml" ds:itemID="{62911393-CA42-465B-B980-026BBECE2C9F}">
  <ds:schemaRefs>
    <ds:schemaRef ds:uri="01be4277-2979-4a68-876d-b92b25fceece"/>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ce404f2c-b0eb-493e-ac64-5bd3de555ba4"/>
    <ds:schemaRef ds:uri="http://purl.org/dc/terms/"/>
  </ds:schemaRefs>
</ds:datastoreItem>
</file>

<file path=customXml/itemProps5.xml><?xml version="1.0" encoding="utf-8"?>
<ds:datastoreItem xmlns:ds="http://schemas.openxmlformats.org/officeDocument/2006/customXml" ds:itemID="{1A115769-5D1E-486B-8F07-E148A62D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7628</Characters>
  <Application>Microsoft Office Word</Application>
  <DocSecurity>4</DocSecurity>
  <Lines>63</Lines>
  <Paragraphs>17</Paragraphs>
  <ScaleCrop>false</ScaleCrop>
  <Company>Department of Internal Affairs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Madigan</dc:creator>
  <cp:keywords/>
  <cp:lastModifiedBy>Aleena Antony</cp:lastModifiedBy>
  <cp:revision>2</cp:revision>
  <cp:lastPrinted>2015-10-19T21:21:00Z</cp:lastPrinted>
  <dcterms:created xsi:type="dcterms:W3CDTF">2022-09-01T23:10:00Z</dcterms:created>
  <dcterms:modified xsi:type="dcterms:W3CDTF">2022-09-01T23:10:00Z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18;#Organisational Capability and Services (OCS)|8ef9872a-7e44-4b88-b2bd-fea41aece6d8</vt:lpwstr>
  </property>
  <property fmtid="{D5CDD505-2E9C-101B-9397-08002B2CF9AE}" pid="5" name="DIABusinessGroup">
    <vt:lpwstr>381;#Communications|8b2cc599-5fcf-452d-8fcd-96f283e0e4e5</vt:lpwstr>
  </property>
  <property fmtid="{D5CDD505-2E9C-101B-9397-08002B2CF9AE}" pid="6" name="ContentTypeId">
    <vt:lpwstr>0x0101005496552013C0BA46BE88192D5C6EB20B00351512A5ABB74CC687DC2977C156D0BF009482A628A63AB44B83B8990687782692</vt:lpwstr>
  </property>
  <property fmtid="{D5CDD505-2E9C-101B-9397-08002B2CF9AE}" pid="7" name="C3Topic">
    <vt:lpwstr/>
  </property>
  <property fmtid="{D5CDD505-2E9C-101B-9397-08002B2CF9AE}" pid="8" name="DIABusinessUnit">
    <vt:lpwstr>382;#Communications|ea8728c5-ba47-4fa4-9b74-09a608191272</vt:lpwstr>
  </property>
  <property fmtid="{D5CDD505-2E9C-101B-9397-08002B2CF9AE}" pid="9" name="_dlc_DocIdItemGuid">
    <vt:lpwstr>a9aab3ee-da9e-42da-a925-4116342348f9</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y fmtid="{D5CDD505-2E9C-101B-9397-08002B2CF9AE}" pid="12" name="_docset_NoMedatataSyncRequired">
    <vt:lpwstr>False</vt:lpwstr>
  </property>
  <property fmtid="{D5CDD505-2E9C-101B-9397-08002B2CF9AE}" pid="13" name="SharedWithUsers">
    <vt:lpwstr>3609;#Jennifer Andrewes;#912;#Michelle Edgerley</vt:lpwstr>
  </property>
  <property fmtid="{D5CDD505-2E9C-101B-9397-08002B2CF9AE}" pid="14" name="jed3c09bad8544cca23a599cbb7c5f0b">
    <vt:lpwstr>Correspondence|dcd6b05f-dc80-4336-b228-09aebf3d212c</vt:lpwstr>
  </property>
  <property fmtid="{D5CDD505-2E9C-101B-9397-08002B2CF9AE}" pid="15" name="DIAPolicyorProcedureType">
    <vt:lpwstr/>
  </property>
  <property fmtid="{D5CDD505-2E9C-101B-9397-08002B2CF9AE}" pid="16" name="DIAAdministrationDocumentType">
    <vt:lpwstr>70;#File Note|06552b83-931f-4d37-ba50-54ee8038dfde</vt:lpwstr>
  </property>
  <property fmtid="{D5CDD505-2E9C-101B-9397-08002B2CF9AE}" pid="17" name="C3ProjectDocumentType">
    <vt:lpwstr/>
  </property>
  <property fmtid="{D5CDD505-2E9C-101B-9397-08002B2CF9AE}" pid="18" name="C3ProjectDocumentTypeNote">
    <vt:lpwstr/>
  </property>
  <property fmtid="{D5CDD505-2E9C-101B-9397-08002B2CF9AE}" pid="19" name="DIAReportDocumentType">
    <vt:lpwstr/>
  </property>
  <property fmtid="{D5CDD505-2E9C-101B-9397-08002B2CF9AE}" pid="20" name="f2ed4e24dfe942acae3055fd47ca91be">
    <vt:lpwstr/>
  </property>
  <property fmtid="{D5CDD505-2E9C-101B-9397-08002B2CF9AE}" pid="21" name="mc24b1f062804f4a8788ee5518af2985">
    <vt:lpwstr/>
  </property>
  <property fmtid="{D5CDD505-2E9C-101B-9397-08002B2CF9AE}" pid="22" name="DIAProjectPhase">
    <vt:lpwstr/>
  </property>
  <property fmtid="{D5CDD505-2E9C-101B-9397-08002B2CF9AE}" pid="23" name="k5b2c701a17e4d2085d438e8a28c43ae">
    <vt:lpwstr/>
  </property>
  <property fmtid="{D5CDD505-2E9C-101B-9397-08002B2CF9AE}" pid="24" name="g012bbd49c4f4dac96751bbb6c336830">
    <vt:lpwstr/>
  </property>
  <property fmtid="{D5CDD505-2E9C-101B-9397-08002B2CF9AE}" pid="25" name="DIAPlanningDocumentType">
    <vt:lpwstr/>
  </property>
</Properties>
</file>