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50461" w14:textId="46BC8642" w:rsidR="001676BD" w:rsidRDefault="002A639F" w:rsidP="00F74990">
      <w:pPr>
        <w:pStyle w:val="Heading1"/>
        <w:spacing w:before="0"/>
      </w:pPr>
      <w:r>
        <w:t xml:space="preserve">Director </w:t>
      </w:r>
      <w:r w:rsidR="00AE0B2B">
        <w:t xml:space="preserve">Planning, </w:t>
      </w:r>
      <w:r>
        <w:t>Performance</w:t>
      </w:r>
      <w:r w:rsidR="00406CA0">
        <w:t xml:space="preserve"> </w:t>
      </w:r>
      <w:r w:rsidR="00370A6A">
        <w:t>&amp;</w:t>
      </w:r>
      <w:r w:rsidR="00406CA0">
        <w:t xml:space="preserve"> </w:t>
      </w:r>
      <w:r w:rsidR="00995351">
        <w:t>Support</w:t>
      </w:r>
    </w:p>
    <w:p w14:paraId="3A85E5B0" w14:textId="2E60D519" w:rsidR="001676BD" w:rsidRPr="001676BD" w:rsidRDefault="576A729F" w:rsidP="001676BD">
      <w:pPr>
        <w:pStyle w:val="Heading2"/>
      </w:pPr>
      <w:r>
        <w:t>Planning, Performance and Support, Digital Public Service Branch</w:t>
      </w:r>
    </w:p>
    <w:p w14:paraId="4386F65C" w14:textId="580605D1" w:rsidR="009E351A" w:rsidRPr="00F74990" w:rsidRDefault="009E351A" w:rsidP="009E351A">
      <w:pPr>
        <w:rPr>
          <w:sz w:val="22"/>
          <w:szCs w:val="22"/>
        </w:rPr>
      </w:pPr>
      <w:r w:rsidRPr="00F74990">
        <w:rPr>
          <w:sz w:val="22"/>
          <w:szCs w:val="22"/>
        </w:rPr>
        <w:t xml:space="preserve">The </w:t>
      </w:r>
      <w:r w:rsidR="00AC5815" w:rsidRPr="00F74990">
        <w:rPr>
          <w:sz w:val="22"/>
          <w:szCs w:val="22"/>
        </w:rPr>
        <w:t>Digital Public Service Branch</w:t>
      </w:r>
      <w:r w:rsidRPr="00F74990">
        <w:rPr>
          <w:sz w:val="22"/>
          <w:szCs w:val="22"/>
        </w:rPr>
        <w:t xml:space="preserve"> works with and through agencies to drive and deliver customer centred digital government.  </w:t>
      </w:r>
    </w:p>
    <w:p w14:paraId="4237A688" w14:textId="2475D8AC" w:rsidR="000447F0" w:rsidRPr="00F74990" w:rsidRDefault="002130D1" w:rsidP="000447F0">
      <w:pPr>
        <w:rPr>
          <w:sz w:val="22"/>
          <w:szCs w:val="22"/>
        </w:rPr>
      </w:pPr>
      <w:r w:rsidRPr="00F74990">
        <w:rPr>
          <w:sz w:val="22"/>
          <w:szCs w:val="22"/>
        </w:rPr>
        <w:t xml:space="preserve">As one of </w:t>
      </w:r>
      <w:r w:rsidR="008F4793" w:rsidRPr="00F74990">
        <w:rPr>
          <w:sz w:val="22"/>
          <w:szCs w:val="22"/>
        </w:rPr>
        <w:t>the Senior Leadership Team</w:t>
      </w:r>
      <w:r w:rsidRPr="00F74990">
        <w:rPr>
          <w:sz w:val="22"/>
          <w:szCs w:val="22"/>
        </w:rPr>
        <w:t xml:space="preserve">, the </w:t>
      </w:r>
      <w:r w:rsidR="008F4793" w:rsidRPr="00F74990">
        <w:rPr>
          <w:sz w:val="22"/>
          <w:szCs w:val="22"/>
        </w:rPr>
        <w:t>Directo</w:t>
      </w:r>
      <w:r w:rsidR="002A639F" w:rsidRPr="00F74990">
        <w:rPr>
          <w:sz w:val="22"/>
          <w:szCs w:val="22"/>
        </w:rPr>
        <w:t xml:space="preserve">r </w:t>
      </w:r>
      <w:r w:rsidR="0026171B" w:rsidRPr="00F74990">
        <w:rPr>
          <w:sz w:val="22"/>
          <w:szCs w:val="22"/>
        </w:rPr>
        <w:t>P</w:t>
      </w:r>
      <w:r w:rsidR="002A639F" w:rsidRPr="00F74990">
        <w:rPr>
          <w:sz w:val="22"/>
          <w:szCs w:val="22"/>
        </w:rPr>
        <w:t xml:space="preserve">lanning, Performance &amp; </w:t>
      </w:r>
      <w:r w:rsidR="00995351" w:rsidRPr="00F74990">
        <w:rPr>
          <w:sz w:val="22"/>
          <w:szCs w:val="22"/>
        </w:rPr>
        <w:t>Support</w:t>
      </w:r>
      <w:r w:rsidRPr="00F74990">
        <w:rPr>
          <w:sz w:val="22"/>
          <w:szCs w:val="22"/>
        </w:rPr>
        <w:t xml:space="preserve"> </w:t>
      </w:r>
      <w:bookmarkStart w:id="0" w:name="_Hlk18387152"/>
      <w:r w:rsidR="002A639F" w:rsidRPr="00F74990">
        <w:rPr>
          <w:sz w:val="22"/>
          <w:szCs w:val="22"/>
        </w:rPr>
        <w:t xml:space="preserve">is </w:t>
      </w:r>
      <w:r w:rsidR="009E351A" w:rsidRPr="00F74990">
        <w:rPr>
          <w:sz w:val="22"/>
          <w:szCs w:val="22"/>
        </w:rPr>
        <w:t xml:space="preserve">jointly accountable for </w:t>
      </w:r>
      <w:r w:rsidR="00AC5815" w:rsidRPr="00F74990">
        <w:rPr>
          <w:sz w:val="22"/>
          <w:szCs w:val="22"/>
        </w:rPr>
        <w:t>leading change</w:t>
      </w:r>
      <w:r w:rsidR="009E351A" w:rsidRPr="00F74990">
        <w:rPr>
          <w:sz w:val="22"/>
          <w:szCs w:val="22"/>
        </w:rPr>
        <w:t xml:space="preserve"> across the public service to enable a system shift to a Digital Public Service</w:t>
      </w:r>
      <w:r w:rsidR="009E351A" w:rsidRPr="00F74990">
        <w:rPr>
          <w:i/>
          <w:sz w:val="22"/>
          <w:szCs w:val="22"/>
        </w:rPr>
        <w:t>.</w:t>
      </w:r>
    </w:p>
    <w:p w14:paraId="24AA030A" w14:textId="1BDAC5F3" w:rsidR="002A639F" w:rsidRPr="00F74990" w:rsidRDefault="007E6CEB" w:rsidP="002130D1">
      <w:pPr>
        <w:rPr>
          <w:color w:val="000000" w:themeColor="text1"/>
          <w:sz w:val="22"/>
          <w:szCs w:val="22"/>
        </w:rPr>
      </w:pPr>
      <w:r w:rsidRPr="00F74990">
        <w:rPr>
          <w:sz w:val="22"/>
          <w:szCs w:val="22"/>
        </w:rPr>
        <w:t xml:space="preserve">The Director Planning, Performance &amp; </w:t>
      </w:r>
      <w:r w:rsidR="00995351" w:rsidRPr="00F74990">
        <w:rPr>
          <w:sz w:val="22"/>
          <w:szCs w:val="22"/>
        </w:rPr>
        <w:t>Support</w:t>
      </w:r>
      <w:r w:rsidRPr="00F74990">
        <w:rPr>
          <w:sz w:val="22"/>
          <w:szCs w:val="22"/>
        </w:rPr>
        <w:t xml:space="preserve"> is accountable for developing, maintaining and governing the Branch-wide workplan – acting as the “funnel” for all mandated priorities to enter – and leading the SLT to prioritise, commission and/or decommission work as appropriate</w:t>
      </w:r>
      <w:r w:rsidRPr="00F74990">
        <w:rPr>
          <w:color w:val="000000" w:themeColor="text1"/>
          <w:sz w:val="22"/>
          <w:szCs w:val="22"/>
        </w:rPr>
        <w:t xml:space="preserve">.  </w:t>
      </w:r>
      <w:r w:rsidR="000447F0" w:rsidRPr="00F74990">
        <w:rPr>
          <w:color w:val="000000" w:themeColor="text1"/>
          <w:sz w:val="22"/>
          <w:szCs w:val="22"/>
        </w:rPr>
        <w:t xml:space="preserve">The Director is </w:t>
      </w:r>
      <w:r w:rsidRPr="00F74990">
        <w:rPr>
          <w:color w:val="000000" w:themeColor="text1"/>
          <w:sz w:val="22"/>
          <w:szCs w:val="22"/>
        </w:rPr>
        <w:t xml:space="preserve">also </w:t>
      </w:r>
      <w:r w:rsidR="000447F0" w:rsidRPr="00F74990">
        <w:rPr>
          <w:color w:val="000000" w:themeColor="text1"/>
          <w:sz w:val="22"/>
          <w:szCs w:val="22"/>
        </w:rPr>
        <w:t>a</w:t>
      </w:r>
      <w:r w:rsidR="002A639F" w:rsidRPr="00F74990">
        <w:rPr>
          <w:color w:val="000000" w:themeColor="text1"/>
          <w:sz w:val="22"/>
          <w:szCs w:val="22"/>
        </w:rPr>
        <w:t>ccountable for</w:t>
      </w:r>
      <w:r w:rsidR="00ED2F49" w:rsidRPr="00F74990">
        <w:rPr>
          <w:color w:val="000000" w:themeColor="text1"/>
          <w:sz w:val="22"/>
          <w:szCs w:val="22"/>
        </w:rPr>
        <w:t xml:space="preserve"> </w:t>
      </w:r>
      <w:r w:rsidR="00B43BC3" w:rsidRPr="00F74990">
        <w:rPr>
          <w:color w:val="000000" w:themeColor="text1"/>
          <w:sz w:val="22"/>
          <w:szCs w:val="22"/>
        </w:rPr>
        <w:t xml:space="preserve">providing the GCDO and Deputy GCDO with oversight and visibility of progress against all initiatives (lead, support, deliver) </w:t>
      </w:r>
      <w:r w:rsidR="00831AF8" w:rsidRPr="00F74990">
        <w:rPr>
          <w:color w:val="000000" w:themeColor="text1"/>
          <w:sz w:val="22"/>
          <w:szCs w:val="22"/>
        </w:rPr>
        <w:t>in the wider GCDO work programme</w:t>
      </w:r>
      <w:r w:rsidRPr="00F74990">
        <w:rPr>
          <w:color w:val="000000" w:themeColor="text1"/>
          <w:sz w:val="22"/>
          <w:szCs w:val="22"/>
        </w:rPr>
        <w:t>.</w:t>
      </w:r>
      <w:r w:rsidR="00AB4AAE" w:rsidRPr="00F74990">
        <w:rPr>
          <w:color w:val="000000" w:themeColor="text1"/>
          <w:sz w:val="22"/>
          <w:szCs w:val="22"/>
        </w:rPr>
        <w:t xml:space="preserve"> </w:t>
      </w:r>
    </w:p>
    <w:p w14:paraId="4D5D686B" w14:textId="5766EFC7" w:rsidR="002130D1" w:rsidRPr="00F74990" w:rsidRDefault="002A639F" w:rsidP="00A52FA2">
      <w:pPr>
        <w:shd w:val="clear" w:color="auto" w:fill="FFFFFF"/>
        <w:spacing w:before="100" w:beforeAutospacing="1" w:after="100" w:afterAutospacing="1"/>
        <w:rPr>
          <w:sz w:val="22"/>
          <w:szCs w:val="22"/>
        </w:rPr>
      </w:pPr>
      <w:r w:rsidRPr="00F74990">
        <w:rPr>
          <w:sz w:val="22"/>
          <w:szCs w:val="22"/>
        </w:rPr>
        <w:t xml:space="preserve">The role is also accountable for leading </w:t>
      </w:r>
      <w:r w:rsidR="000447F0" w:rsidRPr="00F74990">
        <w:rPr>
          <w:sz w:val="22"/>
          <w:szCs w:val="22"/>
        </w:rPr>
        <w:t xml:space="preserve">the Branch’s </w:t>
      </w:r>
      <w:r w:rsidRPr="00F74990">
        <w:rPr>
          <w:sz w:val="22"/>
          <w:szCs w:val="22"/>
        </w:rPr>
        <w:t>corporate accountability</w:t>
      </w:r>
      <w:r w:rsidR="000447F0" w:rsidRPr="00F74990">
        <w:rPr>
          <w:sz w:val="22"/>
          <w:szCs w:val="22"/>
        </w:rPr>
        <w:t xml:space="preserve"> planning</w:t>
      </w:r>
      <w:r w:rsidR="00A52FA2" w:rsidRPr="00F74990">
        <w:rPr>
          <w:sz w:val="22"/>
          <w:szCs w:val="22"/>
        </w:rPr>
        <w:t xml:space="preserve">, </w:t>
      </w:r>
      <w:r w:rsidRPr="00F74990">
        <w:rPr>
          <w:sz w:val="22"/>
          <w:szCs w:val="22"/>
        </w:rPr>
        <w:t>reporting</w:t>
      </w:r>
      <w:r w:rsidR="00A52FA2" w:rsidRPr="00F74990">
        <w:rPr>
          <w:sz w:val="22"/>
          <w:szCs w:val="22"/>
        </w:rPr>
        <w:t xml:space="preserve"> and compliance activities to </w:t>
      </w:r>
      <w:r w:rsidR="000447F0" w:rsidRPr="00F74990">
        <w:rPr>
          <w:sz w:val="22"/>
          <w:szCs w:val="22"/>
        </w:rPr>
        <w:t xml:space="preserve">support </w:t>
      </w:r>
      <w:r w:rsidR="00A52FA2" w:rsidRPr="00F74990">
        <w:rPr>
          <w:sz w:val="22"/>
          <w:szCs w:val="22"/>
        </w:rPr>
        <w:t xml:space="preserve">the Department’s </w:t>
      </w:r>
      <w:r w:rsidR="000447F0" w:rsidRPr="00F74990">
        <w:rPr>
          <w:sz w:val="22"/>
          <w:szCs w:val="22"/>
        </w:rPr>
        <w:t>wide</w:t>
      </w:r>
      <w:r w:rsidR="00A52FA2" w:rsidRPr="00F74990">
        <w:rPr>
          <w:sz w:val="22"/>
          <w:szCs w:val="22"/>
        </w:rPr>
        <w:t>r</w:t>
      </w:r>
      <w:r w:rsidR="000447F0" w:rsidRPr="00F74990">
        <w:rPr>
          <w:sz w:val="22"/>
          <w:szCs w:val="22"/>
        </w:rPr>
        <w:t xml:space="preserve"> organisational performance</w:t>
      </w:r>
      <w:r w:rsidR="00A52FA2" w:rsidRPr="00F74990">
        <w:rPr>
          <w:sz w:val="22"/>
          <w:szCs w:val="22"/>
        </w:rPr>
        <w:t xml:space="preserve">; </w:t>
      </w:r>
      <w:r w:rsidR="000447F0" w:rsidRPr="00F74990">
        <w:rPr>
          <w:sz w:val="22"/>
          <w:szCs w:val="22"/>
        </w:rPr>
        <w:t xml:space="preserve">servicing ministerial and government stakeholder needs </w:t>
      </w:r>
      <w:r w:rsidR="00257FB6" w:rsidRPr="00F74990">
        <w:rPr>
          <w:sz w:val="22"/>
          <w:szCs w:val="22"/>
        </w:rPr>
        <w:t>leads</w:t>
      </w:r>
      <w:r w:rsidR="000447F0" w:rsidRPr="00F74990">
        <w:rPr>
          <w:sz w:val="22"/>
          <w:szCs w:val="22"/>
        </w:rPr>
        <w:t xml:space="preserve"> the Branch’s international engagement</w:t>
      </w:r>
      <w:r w:rsidR="00AC5815" w:rsidRPr="00F74990">
        <w:rPr>
          <w:sz w:val="22"/>
          <w:szCs w:val="22"/>
        </w:rPr>
        <w:t xml:space="preserve"> </w:t>
      </w:r>
      <w:r w:rsidR="0062731F">
        <w:rPr>
          <w:sz w:val="22"/>
          <w:szCs w:val="22"/>
        </w:rPr>
        <w:t>o</w:t>
      </w:r>
      <w:r w:rsidR="00AC5815" w:rsidRPr="00F74990">
        <w:rPr>
          <w:sz w:val="22"/>
          <w:szCs w:val="22"/>
        </w:rPr>
        <w:t>n behalf of the GCDO</w:t>
      </w:r>
      <w:r w:rsidR="0062731F">
        <w:rPr>
          <w:sz w:val="22"/>
          <w:szCs w:val="22"/>
        </w:rPr>
        <w:t xml:space="preserve">. </w:t>
      </w:r>
      <w:bookmarkStart w:id="1" w:name="_GoBack"/>
      <w:bookmarkEnd w:id="1"/>
      <w:r w:rsidR="000447F0" w:rsidRPr="00F74990">
        <w:rPr>
          <w:sz w:val="22"/>
          <w:szCs w:val="22"/>
        </w:rPr>
        <w:t xml:space="preserve"> </w:t>
      </w:r>
    </w:p>
    <w:bookmarkEnd w:id="0"/>
    <w:p w14:paraId="1FFBFA50" w14:textId="2969CCF2" w:rsidR="001676BD" w:rsidRPr="00F74990" w:rsidRDefault="001676BD" w:rsidP="001676BD">
      <w:pPr>
        <w:pStyle w:val="Bullet"/>
        <w:rPr>
          <w:rStyle w:val="BullethighlightedChar"/>
          <w:sz w:val="22"/>
          <w:szCs w:val="22"/>
        </w:rPr>
      </w:pPr>
      <w:r w:rsidRPr="00F74990">
        <w:rPr>
          <w:rStyle w:val="BullethighlightedChar"/>
          <w:sz w:val="22"/>
          <w:szCs w:val="22"/>
        </w:rPr>
        <w:t>Reporting to</w:t>
      </w:r>
      <w:r w:rsidRPr="00F74990">
        <w:rPr>
          <w:sz w:val="22"/>
          <w:szCs w:val="22"/>
        </w:rPr>
        <w:t>:</w:t>
      </w:r>
      <w:r w:rsidR="00285621" w:rsidRPr="00F74990">
        <w:rPr>
          <w:sz w:val="22"/>
          <w:szCs w:val="22"/>
        </w:rPr>
        <w:t xml:space="preserve"> </w:t>
      </w:r>
      <w:r w:rsidR="00A07A83" w:rsidRPr="00F74990">
        <w:rPr>
          <w:sz w:val="22"/>
          <w:szCs w:val="22"/>
        </w:rPr>
        <w:t xml:space="preserve">Deputy Chief Executive, </w:t>
      </w:r>
      <w:r w:rsidR="00B508D4" w:rsidRPr="00F74990">
        <w:rPr>
          <w:sz w:val="22"/>
          <w:szCs w:val="22"/>
        </w:rPr>
        <w:t>Digital Public Service</w:t>
      </w:r>
      <w:r w:rsidR="00A07A83" w:rsidRPr="00F74990">
        <w:rPr>
          <w:sz w:val="22"/>
          <w:szCs w:val="22"/>
        </w:rPr>
        <w:t xml:space="preserve"> Branch</w:t>
      </w:r>
    </w:p>
    <w:p w14:paraId="20BE9F76" w14:textId="77777777" w:rsidR="001676BD" w:rsidRPr="00F74990" w:rsidRDefault="001676BD" w:rsidP="001676BD">
      <w:pPr>
        <w:pStyle w:val="Bullethighlighted"/>
        <w:rPr>
          <w:rStyle w:val="BullethighlightedChar"/>
          <w:sz w:val="22"/>
          <w:szCs w:val="22"/>
        </w:rPr>
      </w:pPr>
      <w:r w:rsidRPr="00F74990">
        <w:rPr>
          <w:sz w:val="22"/>
          <w:szCs w:val="22"/>
        </w:rPr>
        <w:t xml:space="preserve">Location: </w:t>
      </w:r>
      <w:r w:rsidR="00A07A83" w:rsidRPr="00F74990">
        <w:rPr>
          <w:b w:val="0"/>
          <w:color w:val="auto"/>
          <w:sz w:val="22"/>
          <w:szCs w:val="22"/>
        </w:rPr>
        <w:t>Wellington</w:t>
      </w:r>
    </w:p>
    <w:p w14:paraId="4BF847E2" w14:textId="119E583C" w:rsidR="001676BD" w:rsidRPr="00F74990" w:rsidRDefault="001C15EE" w:rsidP="001676BD">
      <w:pPr>
        <w:pStyle w:val="Bullet"/>
        <w:rPr>
          <w:rStyle w:val="BullethighlightedChar"/>
          <w:sz w:val="22"/>
          <w:szCs w:val="22"/>
        </w:rPr>
      </w:pPr>
      <w:r w:rsidRPr="00F74990">
        <w:rPr>
          <w:rStyle w:val="BullethighlightedChar"/>
          <w:sz w:val="22"/>
          <w:szCs w:val="22"/>
        </w:rPr>
        <w:t>Salary range</w:t>
      </w:r>
      <w:r w:rsidRPr="00F74990">
        <w:rPr>
          <w:sz w:val="22"/>
          <w:szCs w:val="22"/>
        </w:rPr>
        <w:t>:</w:t>
      </w:r>
      <w:r w:rsidR="00877819" w:rsidRPr="00F74990">
        <w:rPr>
          <w:sz w:val="22"/>
          <w:szCs w:val="22"/>
        </w:rPr>
        <w:t xml:space="preserve"> </w:t>
      </w:r>
      <w:r w:rsidR="00995351" w:rsidRPr="00F74990">
        <w:rPr>
          <w:sz w:val="22"/>
          <w:szCs w:val="22"/>
        </w:rPr>
        <w:t>Corporate Band L</w:t>
      </w:r>
    </w:p>
    <w:p w14:paraId="0EEA9706" w14:textId="77777777" w:rsidR="001676BD" w:rsidRPr="001C15EE" w:rsidRDefault="001676BD" w:rsidP="001C15EE">
      <w:pPr>
        <w:pStyle w:val="Heading2withoverline"/>
      </w:pPr>
      <w:r w:rsidRPr="00B56D48">
        <w:t>What we do matters</w:t>
      </w:r>
      <w:r>
        <w:t xml:space="preserve"> – o</w:t>
      </w:r>
      <w:r w:rsidRPr="004573F5">
        <w:rPr>
          <w:szCs w:val="32"/>
        </w:rPr>
        <w:t>ur purpose</w:t>
      </w:r>
    </w:p>
    <w:p w14:paraId="072723CC" w14:textId="0E534F7A" w:rsidR="001676BD" w:rsidRPr="00F74990" w:rsidRDefault="00BF0C5F" w:rsidP="00285621">
      <w:pPr>
        <w:rPr>
          <w:sz w:val="22"/>
          <w:szCs w:val="22"/>
        </w:rPr>
      </w:pPr>
      <w:r w:rsidRPr="00F74990">
        <w:rPr>
          <w:sz w:val="22"/>
          <w:szCs w:val="22"/>
        </w:rPr>
        <w:t>Our purpose is t</w:t>
      </w:r>
      <w:r w:rsidR="001676BD" w:rsidRPr="00F74990">
        <w:rPr>
          <w:sz w:val="22"/>
          <w:szCs w:val="22"/>
        </w:rPr>
        <w:t>o serve and connect people, communities and government to build a safe, prosperous and respected nation.</w:t>
      </w:r>
      <w:r w:rsidR="00F74990">
        <w:rPr>
          <w:sz w:val="22"/>
          <w:szCs w:val="22"/>
        </w:rPr>
        <w:t xml:space="preserve"> </w:t>
      </w:r>
      <w:r w:rsidRPr="00F74990">
        <w:rPr>
          <w:sz w:val="22"/>
          <w:szCs w:val="22"/>
        </w:rPr>
        <w:t>In other words, it’s all about helping to make New Zealand better for New Zealanders.</w:t>
      </w:r>
    </w:p>
    <w:p w14:paraId="039508A7" w14:textId="77777777" w:rsidR="001676BD" w:rsidRDefault="001676BD" w:rsidP="00285621">
      <w:pPr>
        <w:pStyle w:val="Heading2withoverline"/>
      </w:pPr>
      <w:r w:rsidRPr="00B56D48">
        <w:t>How we do things around here</w:t>
      </w:r>
      <w:r>
        <w:t xml:space="preserv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640C07CF" w14:textId="77777777" w:rsidTr="006336F1">
        <w:tc>
          <w:tcPr>
            <w:tcW w:w="1701" w:type="dxa"/>
            <w:vMerge w:val="restart"/>
          </w:tcPr>
          <w:p w14:paraId="0779A359" w14:textId="77777777" w:rsidR="0046587F" w:rsidRDefault="0046587F" w:rsidP="0046587F">
            <w:pPr>
              <w:pStyle w:val="Tablenormal0"/>
              <w:ind w:left="-108"/>
            </w:pPr>
            <w:r>
              <w:rPr>
                <w:noProof/>
                <w:lang w:eastAsia="en-NZ"/>
              </w:rPr>
              <w:drawing>
                <wp:inline distT="0" distB="0" distL="0" distR="0" wp14:anchorId="1C91D73D" wp14:editId="21FB0A2A">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607C350B" w14:textId="77777777" w:rsidR="0046587F" w:rsidRPr="00F74990" w:rsidRDefault="0046587F" w:rsidP="00DA62E8">
            <w:pPr>
              <w:pStyle w:val="Heading3"/>
              <w:rPr>
                <w:sz w:val="22"/>
                <w:szCs w:val="22"/>
              </w:rPr>
            </w:pPr>
            <w:r w:rsidRPr="00F74990">
              <w:rPr>
                <w:sz w:val="22"/>
                <w:szCs w:val="22"/>
              </w:rPr>
              <w:t xml:space="preserve">We make it easy, we make it work </w:t>
            </w:r>
          </w:p>
          <w:p w14:paraId="180BCB2E" w14:textId="77777777" w:rsidR="0046587F" w:rsidRPr="00F74990" w:rsidRDefault="0046587F" w:rsidP="00DA62E8">
            <w:pPr>
              <w:pStyle w:val="Tablebullet"/>
              <w:rPr>
                <w:sz w:val="22"/>
                <w:szCs w:val="22"/>
              </w:rPr>
            </w:pPr>
            <w:r w:rsidRPr="00F74990">
              <w:rPr>
                <w:sz w:val="22"/>
                <w:szCs w:val="22"/>
              </w:rPr>
              <w:t>Customer centred</w:t>
            </w:r>
          </w:p>
          <w:p w14:paraId="177E5192" w14:textId="77777777" w:rsidR="0046587F" w:rsidRPr="00F74990" w:rsidRDefault="0046587F" w:rsidP="00DA62E8">
            <w:pPr>
              <w:pStyle w:val="Tablebullet"/>
              <w:rPr>
                <w:sz w:val="22"/>
                <w:szCs w:val="22"/>
              </w:rPr>
            </w:pPr>
            <w:r w:rsidRPr="00F74990">
              <w:rPr>
                <w:sz w:val="22"/>
                <w:szCs w:val="22"/>
              </w:rPr>
              <w:t>Make things even better</w:t>
            </w:r>
          </w:p>
        </w:tc>
      </w:tr>
      <w:tr w:rsidR="0046587F" w14:paraId="1ADC405A" w14:textId="77777777" w:rsidTr="006336F1">
        <w:tc>
          <w:tcPr>
            <w:tcW w:w="1701" w:type="dxa"/>
            <w:vMerge/>
          </w:tcPr>
          <w:p w14:paraId="3C946BC3" w14:textId="77777777" w:rsidR="0046587F" w:rsidRDefault="0046587F" w:rsidP="00DA62E8">
            <w:pPr>
              <w:pStyle w:val="Tablenormal0"/>
            </w:pPr>
          </w:p>
        </w:tc>
        <w:tc>
          <w:tcPr>
            <w:tcW w:w="8557" w:type="dxa"/>
          </w:tcPr>
          <w:p w14:paraId="24F6F055" w14:textId="77777777" w:rsidR="0046587F" w:rsidRPr="00F74990" w:rsidRDefault="0046587F" w:rsidP="00DA62E8">
            <w:pPr>
              <w:pStyle w:val="Heading3"/>
              <w:rPr>
                <w:sz w:val="22"/>
                <w:szCs w:val="22"/>
              </w:rPr>
            </w:pPr>
            <w:r w:rsidRPr="00F74990">
              <w:rPr>
                <w:sz w:val="22"/>
                <w:szCs w:val="22"/>
              </w:rPr>
              <w:t xml:space="preserve">We’re stronger together </w:t>
            </w:r>
          </w:p>
          <w:p w14:paraId="306EB436" w14:textId="77777777" w:rsidR="0046587F" w:rsidRPr="00F74990" w:rsidRDefault="0046587F" w:rsidP="00DA62E8">
            <w:pPr>
              <w:pStyle w:val="Tablebullet"/>
              <w:rPr>
                <w:sz w:val="22"/>
                <w:szCs w:val="22"/>
              </w:rPr>
            </w:pPr>
            <w:r w:rsidRPr="00F74990">
              <w:rPr>
                <w:sz w:val="22"/>
                <w:szCs w:val="22"/>
              </w:rPr>
              <w:t>Work as a team</w:t>
            </w:r>
          </w:p>
          <w:p w14:paraId="22045276" w14:textId="77777777" w:rsidR="0046587F" w:rsidRPr="00F74990" w:rsidRDefault="0046587F" w:rsidP="00DA62E8">
            <w:pPr>
              <w:pStyle w:val="Tablebullet"/>
              <w:rPr>
                <w:sz w:val="22"/>
                <w:szCs w:val="22"/>
              </w:rPr>
            </w:pPr>
            <w:r w:rsidRPr="00F74990">
              <w:rPr>
                <w:sz w:val="22"/>
                <w:szCs w:val="22"/>
              </w:rPr>
              <w:t>Value each other</w:t>
            </w:r>
          </w:p>
        </w:tc>
      </w:tr>
      <w:tr w:rsidR="0046587F" w14:paraId="6A396AA4" w14:textId="77777777" w:rsidTr="006336F1">
        <w:tc>
          <w:tcPr>
            <w:tcW w:w="1701" w:type="dxa"/>
            <w:vMerge/>
          </w:tcPr>
          <w:p w14:paraId="0E9D7B1D" w14:textId="77777777" w:rsidR="0046587F" w:rsidRDefault="0046587F" w:rsidP="00DA62E8">
            <w:pPr>
              <w:pStyle w:val="Tablenormal0"/>
            </w:pPr>
          </w:p>
        </w:tc>
        <w:tc>
          <w:tcPr>
            <w:tcW w:w="8557" w:type="dxa"/>
          </w:tcPr>
          <w:p w14:paraId="4A88C6C6" w14:textId="77777777" w:rsidR="0046587F" w:rsidRPr="00F74990" w:rsidRDefault="0046587F" w:rsidP="00DA62E8">
            <w:pPr>
              <w:pStyle w:val="Heading3"/>
              <w:rPr>
                <w:sz w:val="22"/>
                <w:szCs w:val="22"/>
              </w:rPr>
            </w:pPr>
            <w:r w:rsidRPr="00F74990">
              <w:rPr>
                <w:sz w:val="22"/>
                <w:szCs w:val="22"/>
              </w:rPr>
              <w:t xml:space="preserve">We take pride in what we do </w:t>
            </w:r>
          </w:p>
          <w:p w14:paraId="7C3E7F74" w14:textId="77777777" w:rsidR="0046587F" w:rsidRPr="00F74990" w:rsidRDefault="0046587F" w:rsidP="00DA62E8">
            <w:pPr>
              <w:pStyle w:val="Tablebullet"/>
              <w:rPr>
                <w:sz w:val="22"/>
                <w:szCs w:val="22"/>
              </w:rPr>
            </w:pPr>
            <w:r w:rsidRPr="00F74990">
              <w:rPr>
                <w:sz w:val="22"/>
                <w:szCs w:val="22"/>
              </w:rPr>
              <w:t>Make a positive difference</w:t>
            </w:r>
          </w:p>
          <w:p w14:paraId="04AC8A11" w14:textId="77777777" w:rsidR="0046587F" w:rsidRPr="00BF0C5F" w:rsidRDefault="0046587F" w:rsidP="00DA62E8">
            <w:pPr>
              <w:pStyle w:val="Tablebullet"/>
            </w:pPr>
            <w:r w:rsidRPr="00F74990">
              <w:rPr>
                <w:sz w:val="22"/>
                <w:szCs w:val="22"/>
              </w:rPr>
              <w:t>Strive for excellence</w:t>
            </w:r>
          </w:p>
        </w:tc>
      </w:tr>
    </w:tbl>
    <w:p w14:paraId="37BD05D2" w14:textId="77777777" w:rsidR="00535DF5" w:rsidRPr="00767FB1" w:rsidRDefault="00535DF5" w:rsidP="00285621">
      <w:pPr>
        <w:pStyle w:val="Heading2withoverline"/>
      </w:pPr>
      <w:r w:rsidRPr="00767FB1">
        <w:lastRenderedPageBreak/>
        <w:t xml:space="preserve">Working </w:t>
      </w:r>
      <w:r w:rsidR="001E3565">
        <w:t xml:space="preserve">effectively </w:t>
      </w:r>
      <w:r w:rsidRPr="00767FB1">
        <w:t xml:space="preserve">with </w:t>
      </w:r>
      <w:r w:rsidRPr="00535DF5">
        <w:t>Māori</w:t>
      </w:r>
    </w:p>
    <w:p w14:paraId="699526DF" w14:textId="77777777" w:rsidR="00D80F6C" w:rsidRDefault="00D80F6C" w:rsidP="00D80F6C">
      <w:r>
        <w:t>Te Aka Taiwhenua – our Māori Strategic Framework – enables us to work effectively with Māori. Te Aka Taiwhenua is underpinned by our mātāpono – Kotahitanga, Manaakitanga, Whānaungatanga, He Tāngata.</w:t>
      </w:r>
    </w:p>
    <w:p w14:paraId="1A013432" w14:textId="5B78EA01" w:rsidR="00DA62E8" w:rsidRDefault="00D80F6C">
      <w:r>
        <w:t xml:space="preserve">As DIA is an agent of the Crown, Te Tiriti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t>Tiriti</w:t>
      </w:r>
      <w:proofErr w:type="spellEnd"/>
      <w:r>
        <w:t xml:space="preserve"> o Waitangi.</w:t>
      </w:r>
    </w:p>
    <w:p w14:paraId="0CDDAFC5" w14:textId="717ABE4C" w:rsidR="00AC5815" w:rsidRDefault="00AC5815" w:rsidP="00AC5815">
      <w:r w:rsidRPr="00AC5815">
        <w:t xml:space="preserve">Te </w:t>
      </w:r>
      <w:proofErr w:type="spellStart"/>
      <w:r w:rsidRPr="00AC5815">
        <w:t>Pou</w:t>
      </w:r>
      <w:proofErr w:type="spellEnd"/>
      <w:r w:rsidRPr="00AC5815">
        <w:t xml:space="preserve"> </w:t>
      </w:r>
      <w:proofErr w:type="spellStart"/>
      <w:r w:rsidRPr="00AC5815">
        <w:t>Matihiko</w:t>
      </w:r>
      <w:proofErr w:type="spellEnd"/>
      <w:r w:rsidRPr="00AC5815">
        <w:t xml:space="preserve"> plays an important role in leading and supporting the </w:t>
      </w:r>
      <w:r w:rsidR="00F74990">
        <w:t>Digital Public Service</w:t>
      </w:r>
      <w:r w:rsidRPr="00AC5815">
        <w:t xml:space="preserve"> Branch to embed tikanga Māori in the way we work and co-create future digital experiences that deliver value for Māori.</w:t>
      </w:r>
    </w:p>
    <w:p w14:paraId="0CE35822" w14:textId="08B8C0D5" w:rsidR="00F74990" w:rsidRDefault="00F74990" w:rsidP="00AC5815"/>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75"/>
        <w:gridCol w:w="3840"/>
      </w:tblGrid>
      <w:tr w:rsidR="00F74990" w:rsidRPr="006B2693" w14:paraId="5154D404" w14:textId="77777777" w:rsidTr="00355BCC">
        <w:trPr>
          <w:cantSplit/>
          <w:tblHeader/>
        </w:trPr>
        <w:tc>
          <w:tcPr>
            <w:tcW w:w="5675" w:type="dxa"/>
            <w:tcBorders>
              <w:bottom w:val="nil"/>
              <w:right w:val="single" w:sz="6" w:space="0" w:color="FFFFFF" w:themeColor="background1"/>
            </w:tcBorders>
            <w:shd w:val="clear" w:color="auto" w:fill="1F546B" w:themeFill="text2"/>
          </w:tcPr>
          <w:p w14:paraId="1BA546B4" w14:textId="77777777" w:rsidR="00F74990" w:rsidRPr="006B2693" w:rsidRDefault="00F74990" w:rsidP="00355BCC">
            <w:pPr>
              <w:pStyle w:val="Tableheading"/>
            </w:pPr>
            <w:r>
              <w:t xml:space="preserve">What you will do to </w:t>
            </w:r>
            <w:r w:rsidRPr="006B2693">
              <w:t>contribute</w:t>
            </w:r>
          </w:p>
        </w:tc>
        <w:tc>
          <w:tcPr>
            <w:tcW w:w="3840" w:type="dxa"/>
            <w:tcBorders>
              <w:left w:val="single" w:sz="6" w:space="0" w:color="FFFFFF" w:themeColor="background1"/>
              <w:bottom w:val="nil"/>
            </w:tcBorders>
            <w:shd w:val="clear" w:color="auto" w:fill="1F546B" w:themeFill="text2"/>
          </w:tcPr>
          <w:p w14:paraId="2E9626A2" w14:textId="77777777" w:rsidR="00F74990" w:rsidRPr="006B2693" w:rsidRDefault="00F74990" w:rsidP="00355BCC">
            <w:pPr>
              <w:pStyle w:val="Tableheading"/>
            </w:pPr>
            <w:r w:rsidRPr="006B2693">
              <w:t xml:space="preserve">As a </w:t>
            </w:r>
            <w:proofErr w:type="gramStart"/>
            <w:r w:rsidRPr="006B2693">
              <w:t>result</w:t>
            </w:r>
            <w:proofErr w:type="gramEnd"/>
            <w:r w:rsidRPr="006B2693">
              <w:t xml:space="preserve"> we will see</w:t>
            </w:r>
          </w:p>
        </w:tc>
      </w:tr>
      <w:tr w:rsidR="00F74990" w:rsidRPr="00995351" w14:paraId="188150FD" w14:textId="77777777" w:rsidTr="00355BCC">
        <w:trPr>
          <w:cantSplit/>
        </w:trPr>
        <w:tc>
          <w:tcPr>
            <w:tcW w:w="5675" w:type="dxa"/>
            <w:tcBorders>
              <w:top w:val="nil"/>
              <w:left w:val="nil"/>
              <w:bottom w:val="single" w:sz="6" w:space="0" w:color="1F546B" w:themeColor="text2"/>
              <w:right w:val="single" w:sz="6" w:space="0" w:color="1F546B" w:themeColor="text2"/>
            </w:tcBorders>
          </w:tcPr>
          <w:p w14:paraId="3E567C03" w14:textId="77777777" w:rsidR="00F74990" w:rsidRPr="00995351" w:rsidRDefault="00F74990" w:rsidP="00355BCC">
            <w:pPr>
              <w:pStyle w:val="Tablenormal0"/>
              <w:rPr>
                <w:b/>
                <w:bCs/>
                <w:sz w:val="23"/>
                <w:szCs w:val="23"/>
              </w:rPr>
            </w:pPr>
            <w:r w:rsidRPr="00995351">
              <w:rPr>
                <w:b/>
                <w:bCs/>
                <w:sz w:val="23"/>
                <w:szCs w:val="23"/>
              </w:rPr>
              <w:t>Strategic Leadership</w:t>
            </w:r>
          </w:p>
          <w:p w14:paraId="16E061C6" w14:textId="77777777" w:rsidR="00F74990" w:rsidRPr="00995351" w:rsidRDefault="00F74990" w:rsidP="00355BCC">
            <w:pPr>
              <w:pStyle w:val="Tablebullet"/>
              <w:rPr>
                <w:sz w:val="23"/>
                <w:szCs w:val="23"/>
              </w:rPr>
            </w:pPr>
            <w:r w:rsidRPr="00995351">
              <w:rPr>
                <w:sz w:val="23"/>
                <w:szCs w:val="23"/>
              </w:rPr>
              <w:t>Provide strate</w:t>
            </w:r>
            <w:r>
              <w:rPr>
                <w:sz w:val="23"/>
                <w:szCs w:val="23"/>
              </w:rPr>
              <w:t>gic and professional leadership</w:t>
            </w:r>
            <w:r w:rsidRPr="00995351">
              <w:rPr>
                <w:sz w:val="23"/>
                <w:szCs w:val="23"/>
              </w:rPr>
              <w:t xml:space="preserve"> across </w:t>
            </w:r>
            <w:r>
              <w:rPr>
                <w:sz w:val="23"/>
                <w:szCs w:val="23"/>
              </w:rPr>
              <w:t>the Branch</w:t>
            </w:r>
            <w:r w:rsidRPr="00995351">
              <w:rPr>
                <w:sz w:val="23"/>
                <w:szCs w:val="23"/>
              </w:rPr>
              <w:t xml:space="preserve"> as a member of the branch leadership team, across DIA as a member of the cohort of senior leaders, across the wider Public sector, and internationally as a representative of the GCDO</w:t>
            </w:r>
          </w:p>
          <w:p w14:paraId="3913A4E0" w14:textId="77777777" w:rsidR="00F74990" w:rsidRPr="00995351" w:rsidRDefault="00F74990" w:rsidP="00355BCC">
            <w:pPr>
              <w:pStyle w:val="Tablebullet"/>
              <w:rPr>
                <w:sz w:val="23"/>
                <w:szCs w:val="23"/>
              </w:rPr>
            </w:pPr>
            <w:r w:rsidRPr="00995351">
              <w:rPr>
                <w:sz w:val="23"/>
                <w:szCs w:val="23"/>
              </w:rPr>
              <w:t xml:space="preserve">As part of the SLT demonstrate and model change leadership to support the Branch to implement the Branch operating model to </w:t>
            </w:r>
            <w:proofErr w:type="gramStart"/>
            <w:r w:rsidRPr="00995351">
              <w:rPr>
                <w:sz w:val="23"/>
                <w:szCs w:val="23"/>
              </w:rPr>
              <w:t>effect</w:t>
            </w:r>
            <w:proofErr w:type="gramEnd"/>
            <w:r w:rsidRPr="00995351">
              <w:rPr>
                <w:sz w:val="23"/>
                <w:szCs w:val="23"/>
              </w:rPr>
              <w:t xml:space="preserve"> the system changes required to enable a digital public service</w:t>
            </w:r>
          </w:p>
          <w:p w14:paraId="41A8E4D7" w14:textId="77777777" w:rsidR="00F74990" w:rsidRPr="00995351" w:rsidRDefault="00F74990" w:rsidP="00355BCC">
            <w:pPr>
              <w:pStyle w:val="Tablebullet"/>
              <w:rPr>
                <w:sz w:val="23"/>
                <w:szCs w:val="23"/>
              </w:rPr>
            </w:pPr>
            <w:r w:rsidRPr="00995351">
              <w:rPr>
                <w:sz w:val="23"/>
                <w:szCs w:val="23"/>
              </w:rPr>
              <w:t>Provide strategic and intellectual leadership to the GCDO in relation to the international engagement programme and activities</w:t>
            </w:r>
          </w:p>
          <w:p w14:paraId="075FE02E" w14:textId="77777777" w:rsidR="00F74990" w:rsidRPr="00995351" w:rsidRDefault="00F74990" w:rsidP="00355BCC">
            <w:pPr>
              <w:pStyle w:val="Tablebullet"/>
              <w:rPr>
                <w:sz w:val="23"/>
                <w:szCs w:val="23"/>
              </w:rPr>
            </w:pPr>
            <w:r w:rsidRPr="00995351">
              <w:rPr>
                <w:sz w:val="23"/>
                <w:szCs w:val="23"/>
              </w:rPr>
              <w:t xml:space="preserve">Lead the governance of the system-wide GCDO work programme and Branch workplan on behalf of the GCDO and Branch, ensuring alignment to the </w:t>
            </w:r>
            <w:r w:rsidRPr="00995351">
              <w:rPr>
                <w:i/>
                <w:sz w:val="23"/>
                <w:szCs w:val="23"/>
              </w:rPr>
              <w:t>Strategy for a Digital Public Service</w:t>
            </w:r>
          </w:p>
          <w:p w14:paraId="0427F08C" w14:textId="77777777" w:rsidR="00F74990" w:rsidRPr="00995351" w:rsidRDefault="00F74990" w:rsidP="00355BCC">
            <w:pPr>
              <w:pStyle w:val="Tablebullet"/>
              <w:rPr>
                <w:sz w:val="23"/>
                <w:szCs w:val="23"/>
              </w:rPr>
            </w:pPr>
            <w:r w:rsidRPr="00995351">
              <w:rPr>
                <w:sz w:val="23"/>
                <w:szCs w:val="23"/>
              </w:rPr>
              <w:t>Support the GCDO to maintain effective relationships with Ministers Offices and ministerial officials’ groups</w:t>
            </w:r>
          </w:p>
          <w:p w14:paraId="0B43E84E" w14:textId="77777777" w:rsidR="00F74990" w:rsidRPr="00995351" w:rsidRDefault="00F74990" w:rsidP="00355BCC">
            <w:pPr>
              <w:pStyle w:val="Tablebullet"/>
              <w:rPr>
                <w:sz w:val="23"/>
                <w:szCs w:val="23"/>
              </w:rPr>
            </w:pPr>
            <w:r w:rsidRPr="00995351">
              <w:rPr>
                <w:sz w:val="23"/>
                <w:szCs w:val="23"/>
              </w:rPr>
              <w:t>Provide organisational leadership and stewardship through participation in the Department’s strategic development and governance processes</w:t>
            </w:r>
          </w:p>
        </w:tc>
        <w:tc>
          <w:tcPr>
            <w:tcW w:w="3840" w:type="dxa"/>
            <w:tcBorders>
              <w:top w:val="nil"/>
              <w:left w:val="single" w:sz="6" w:space="0" w:color="1F546B" w:themeColor="text2"/>
              <w:bottom w:val="single" w:sz="6" w:space="0" w:color="1F546B" w:themeColor="text2"/>
              <w:right w:val="nil"/>
            </w:tcBorders>
          </w:tcPr>
          <w:p w14:paraId="4733A9B7" w14:textId="77777777" w:rsidR="00F74990" w:rsidRPr="00995351" w:rsidRDefault="00F74990" w:rsidP="00355BCC">
            <w:pPr>
              <w:pStyle w:val="Tablebullet"/>
              <w:rPr>
                <w:sz w:val="23"/>
                <w:szCs w:val="23"/>
              </w:rPr>
            </w:pPr>
            <w:r w:rsidRPr="00995351">
              <w:rPr>
                <w:sz w:val="23"/>
                <w:szCs w:val="23"/>
              </w:rPr>
              <w:t>Actively contributing to branch leadership and providing trusted advice to the branch and wider DIA</w:t>
            </w:r>
          </w:p>
          <w:p w14:paraId="24029FDC" w14:textId="77777777" w:rsidR="00F74990" w:rsidRPr="00995351" w:rsidRDefault="00F74990" w:rsidP="00355BCC">
            <w:pPr>
              <w:pStyle w:val="Tablebullet"/>
              <w:rPr>
                <w:sz w:val="23"/>
                <w:szCs w:val="23"/>
              </w:rPr>
            </w:pPr>
            <w:r w:rsidRPr="00995351">
              <w:rPr>
                <w:sz w:val="23"/>
                <w:szCs w:val="23"/>
              </w:rPr>
              <w:t>Demonstrating and modelling collaborative change leadership to influence the successful implementation and embedding of the Branch operating model</w:t>
            </w:r>
          </w:p>
          <w:p w14:paraId="13BB6E40" w14:textId="77777777" w:rsidR="00F74990" w:rsidRPr="00995351" w:rsidRDefault="00F74990" w:rsidP="00355BCC">
            <w:pPr>
              <w:pStyle w:val="Tablebullet"/>
              <w:rPr>
                <w:sz w:val="23"/>
                <w:szCs w:val="23"/>
              </w:rPr>
            </w:pPr>
            <w:r>
              <w:rPr>
                <w:sz w:val="23"/>
                <w:szCs w:val="23"/>
              </w:rPr>
              <w:t>The Branch</w:t>
            </w:r>
            <w:r w:rsidRPr="00995351">
              <w:rPr>
                <w:sz w:val="23"/>
                <w:szCs w:val="23"/>
              </w:rPr>
              <w:t xml:space="preserve"> is positively represented and reflected in the Departmental strategic direction and collective leadership forums</w:t>
            </w:r>
          </w:p>
        </w:tc>
      </w:tr>
    </w:tbl>
    <w:p w14:paraId="32CA72DD" w14:textId="77777777" w:rsidR="00F74990" w:rsidRDefault="00F74990" w:rsidP="00AC5815"/>
    <w:p w14:paraId="48B618AE" w14:textId="77777777" w:rsidR="00AC5815" w:rsidRDefault="00AC5815"/>
    <w:p w14:paraId="3B3C2D51" w14:textId="77777777" w:rsidR="00952122" w:rsidRDefault="00952122" w:rsidP="00DA62E8">
      <w:pPr>
        <w:pStyle w:val="Tinyline"/>
        <w:sectPr w:rsidR="00952122" w:rsidSect="00952122">
          <w:headerReference w:type="default" r:id="rId13"/>
          <w:footerReference w:type="default" r:id="rId14"/>
          <w:headerReference w:type="first" r:id="rId15"/>
          <w:footerReference w:type="first" r:id="rId16"/>
          <w:pgSz w:w="11907" w:h="16840" w:code="9"/>
          <w:pgMar w:top="1134" w:right="567" w:bottom="992" w:left="567" w:header="425" w:footer="635" w:gutter="0"/>
          <w:cols w:space="708"/>
          <w:titlePg/>
          <w:docGrid w:linePitch="360"/>
        </w:sect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63"/>
        <w:gridCol w:w="12"/>
        <w:gridCol w:w="3840"/>
      </w:tblGrid>
      <w:tr w:rsidR="001C15EE" w:rsidRPr="006B2693" w14:paraId="07A0C7E2" w14:textId="77777777" w:rsidTr="00581755">
        <w:trPr>
          <w:cantSplit/>
          <w:tblHeader/>
        </w:trPr>
        <w:tc>
          <w:tcPr>
            <w:tcW w:w="5675" w:type="dxa"/>
            <w:gridSpan w:val="2"/>
            <w:tcBorders>
              <w:bottom w:val="nil"/>
              <w:right w:val="single" w:sz="6" w:space="0" w:color="FFFFFF" w:themeColor="background1"/>
            </w:tcBorders>
            <w:shd w:val="clear" w:color="auto" w:fill="1F546B" w:themeFill="text2"/>
          </w:tcPr>
          <w:p w14:paraId="0EA35D63" w14:textId="77777777" w:rsidR="001C15EE" w:rsidRPr="006B2693" w:rsidRDefault="00BB3B51" w:rsidP="00BB3B51">
            <w:pPr>
              <w:pStyle w:val="Tableheading"/>
            </w:pPr>
            <w:r>
              <w:lastRenderedPageBreak/>
              <w:t>What</w:t>
            </w:r>
            <w:r w:rsidR="005848D3">
              <w:t xml:space="preserve"> you</w:t>
            </w:r>
            <w:r>
              <w:t xml:space="preserve"> will</w:t>
            </w:r>
            <w:r w:rsidR="005848D3">
              <w:t xml:space="preserve"> </w:t>
            </w:r>
            <w:r>
              <w:t>do to</w:t>
            </w:r>
            <w:r w:rsidR="005848D3">
              <w:t xml:space="preserve"> </w:t>
            </w:r>
            <w:r w:rsidR="006B2693" w:rsidRPr="006B2693">
              <w:t>contribute</w:t>
            </w:r>
          </w:p>
        </w:tc>
        <w:tc>
          <w:tcPr>
            <w:tcW w:w="3840" w:type="dxa"/>
            <w:tcBorders>
              <w:left w:val="single" w:sz="6" w:space="0" w:color="FFFFFF" w:themeColor="background1"/>
              <w:bottom w:val="nil"/>
            </w:tcBorders>
            <w:shd w:val="clear" w:color="auto" w:fill="1F546B" w:themeFill="text2"/>
          </w:tcPr>
          <w:p w14:paraId="2C425417" w14:textId="77777777" w:rsidR="001C15EE" w:rsidRPr="006B2693" w:rsidRDefault="006B2693" w:rsidP="008023C3">
            <w:pPr>
              <w:pStyle w:val="Tableheading"/>
            </w:pPr>
            <w:r w:rsidRPr="006B2693">
              <w:t xml:space="preserve">As a </w:t>
            </w:r>
            <w:proofErr w:type="gramStart"/>
            <w:r w:rsidRPr="006B2693">
              <w:t>result</w:t>
            </w:r>
            <w:proofErr w:type="gramEnd"/>
            <w:r w:rsidRPr="006B2693">
              <w:t xml:space="preserve"> we will see</w:t>
            </w:r>
          </w:p>
        </w:tc>
      </w:tr>
      <w:tr w:rsidR="00353C40" w:rsidRPr="00995351" w14:paraId="42436E76" w14:textId="77777777" w:rsidTr="00581755">
        <w:trPr>
          <w:cantSplit/>
        </w:trPr>
        <w:tc>
          <w:tcPr>
            <w:tcW w:w="5675" w:type="dxa"/>
            <w:gridSpan w:val="2"/>
            <w:tcBorders>
              <w:top w:val="nil"/>
              <w:left w:val="nil"/>
              <w:bottom w:val="single" w:sz="6" w:space="0" w:color="1F546B" w:themeColor="text2"/>
              <w:right w:val="single" w:sz="6" w:space="0" w:color="1F546B" w:themeColor="text2"/>
            </w:tcBorders>
          </w:tcPr>
          <w:p w14:paraId="3738AA34" w14:textId="7C811ADC" w:rsidR="00353C40" w:rsidRPr="00995351" w:rsidRDefault="002B45B9" w:rsidP="003E624A">
            <w:pPr>
              <w:pStyle w:val="Tablebullet"/>
              <w:numPr>
                <w:ilvl w:val="0"/>
                <w:numId w:val="0"/>
              </w:numPr>
              <w:rPr>
                <w:b/>
                <w:sz w:val="23"/>
                <w:szCs w:val="23"/>
              </w:rPr>
            </w:pPr>
            <w:r w:rsidRPr="00995351">
              <w:rPr>
                <w:b/>
                <w:sz w:val="23"/>
                <w:szCs w:val="23"/>
              </w:rPr>
              <w:t>Planning, Governance</w:t>
            </w:r>
            <w:r w:rsidR="00FE067B" w:rsidRPr="00995351">
              <w:rPr>
                <w:b/>
                <w:sz w:val="23"/>
                <w:szCs w:val="23"/>
              </w:rPr>
              <w:t xml:space="preserve"> and Reporting</w:t>
            </w:r>
          </w:p>
          <w:p w14:paraId="32C467F5" w14:textId="45726E81" w:rsidR="00BC061C" w:rsidRPr="00995351" w:rsidRDefault="00BC061C" w:rsidP="002B45B9">
            <w:pPr>
              <w:pStyle w:val="Tablebullet"/>
              <w:rPr>
                <w:sz w:val="23"/>
                <w:szCs w:val="23"/>
              </w:rPr>
            </w:pPr>
            <w:r w:rsidRPr="00995351">
              <w:rPr>
                <w:sz w:val="23"/>
                <w:szCs w:val="23"/>
              </w:rPr>
              <w:t xml:space="preserve">Working with senior leadership team, lead </w:t>
            </w:r>
            <w:r w:rsidR="002B45B9" w:rsidRPr="00995351">
              <w:rPr>
                <w:sz w:val="23"/>
                <w:szCs w:val="23"/>
              </w:rPr>
              <w:t>the development</w:t>
            </w:r>
            <w:r w:rsidRPr="00995351">
              <w:rPr>
                <w:sz w:val="23"/>
                <w:szCs w:val="23"/>
              </w:rPr>
              <w:t xml:space="preserve"> and maintenance of the </w:t>
            </w:r>
            <w:r w:rsidR="00E54B26" w:rsidRPr="00995351">
              <w:rPr>
                <w:sz w:val="23"/>
                <w:szCs w:val="23"/>
              </w:rPr>
              <w:t xml:space="preserve">overall </w:t>
            </w:r>
            <w:r w:rsidRPr="00995351">
              <w:rPr>
                <w:sz w:val="23"/>
                <w:szCs w:val="23"/>
              </w:rPr>
              <w:t xml:space="preserve">Branch </w:t>
            </w:r>
            <w:r w:rsidR="002B45B9" w:rsidRPr="00995351">
              <w:rPr>
                <w:sz w:val="23"/>
                <w:szCs w:val="23"/>
              </w:rPr>
              <w:t>workplan</w:t>
            </w:r>
            <w:r w:rsidR="00FE067B" w:rsidRPr="00995351">
              <w:rPr>
                <w:sz w:val="23"/>
                <w:szCs w:val="23"/>
              </w:rPr>
              <w:t>, ensuring it is representative of the work the GCDO is responsible for delivering through the Branch</w:t>
            </w:r>
          </w:p>
          <w:p w14:paraId="5BD874D2" w14:textId="2E80BE47" w:rsidR="002B45B9" w:rsidRPr="00995351" w:rsidRDefault="002B45B9" w:rsidP="005C0A11">
            <w:pPr>
              <w:pStyle w:val="Tablebullet"/>
              <w:rPr>
                <w:sz w:val="23"/>
                <w:szCs w:val="23"/>
              </w:rPr>
            </w:pPr>
            <w:r w:rsidRPr="00995351">
              <w:rPr>
                <w:sz w:val="23"/>
                <w:szCs w:val="23"/>
              </w:rPr>
              <w:t xml:space="preserve">Lead the SLT to effectively govern the Branch workplan, including </w:t>
            </w:r>
            <w:r w:rsidR="00FE7241" w:rsidRPr="00995351">
              <w:rPr>
                <w:sz w:val="23"/>
                <w:szCs w:val="23"/>
              </w:rPr>
              <w:t xml:space="preserve">acting as the “funnel” </w:t>
            </w:r>
            <w:r w:rsidR="00977A8B" w:rsidRPr="00995351">
              <w:rPr>
                <w:sz w:val="23"/>
                <w:szCs w:val="23"/>
              </w:rPr>
              <w:t>for</w:t>
            </w:r>
            <w:r w:rsidR="00FE7241" w:rsidRPr="00995351">
              <w:rPr>
                <w:sz w:val="23"/>
                <w:szCs w:val="23"/>
              </w:rPr>
              <w:t xml:space="preserve"> all </w:t>
            </w:r>
            <w:r w:rsidR="00FE067B" w:rsidRPr="00995351">
              <w:rPr>
                <w:sz w:val="23"/>
                <w:szCs w:val="23"/>
              </w:rPr>
              <w:t>priorities and mandated work</w:t>
            </w:r>
            <w:r w:rsidR="00977A8B" w:rsidRPr="00995351">
              <w:rPr>
                <w:sz w:val="23"/>
                <w:szCs w:val="23"/>
              </w:rPr>
              <w:t xml:space="preserve"> that shape the workplan</w:t>
            </w:r>
            <w:r w:rsidR="00AB4AAE" w:rsidRPr="00995351">
              <w:rPr>
                <w:sz w:val="23"/>
                <w:szCs w:val="23"/>
              </w:rPr>
              <w:t xml:space="preserve"> to enter</w:t>
            </w:r>
            <w:r w:rsidR="007E6CEB" w:rsidRPr="00995351">
              <w:rPr>
                <w:sz w:val="23"/>
                <w:szCs w:val="23"/>
              </w:rPr>
              <w:t xml:space="preserve"> and</w:t>
            </w:r>
            <w:r w:rsidR="00977A8B" w:rsidRPr="00995351">
              <w:rPr>
                <w:sz w:val="23"/>
                <w:szCs w:val="23"/>
              </w:rPr>
              <w:t xml:space="preserve"> </w:t>
            </w:r>
            <w:r w:rsidR="00AB4AAE" w:rsidRPr="00995351">
              <w:rPr>
                <w:sz w:val="23"/>
                <w:szCs w:val="23"/>
              </w:rPr>
              <w:t xml:space="preserve">leading </w:t>
            </w:r>
            <w:r w:rsidRPr="00995351">
              <w:rPr>
                <w:sz w:val="23"/>
                <w:szCs w:val="23"/>
              </w:rPr>
              <w:t>prioritisation</w:t>
            </w:r>
            <w:r w:rsidR="00AB4AAE" w:rsidRPr="00995351">
              <w:rPr>
                <w:sz w:val="23"/>
                <w:szCs w:val="23"/>
              </w:rPr>
              <w:t>,</w:t>
            </w:r>
            <w:r w:rsidRPr="00995351">
              <w:rPr>
                <w:sz w:val="23"/>
                <w:szCs w:val="23"/>
              </w:rPr>
              <w:t xml:space="preserve"> commissioning</w:t>
            </w:r>
            <w:r w:rsidR="00E54B26" w:rsidRPr="00995351">
              <w:rPr>
                <w:sz w:val="23"/>
                <w:szCs w:val="23"/>
              </w:rPr>
              <w:t xml:space="preserve">/decommissioning </w:t>
            </w:r>
            <w:r w:rsidR="00AB4AAE" w:rsidRPr="00995351">
              <w:rPr>
                <w:sz w:val="23"/>
                <w:szCs w:val="23"/>
              </w:rPr>
              <w:t>of work as appropriate</w:t>
            </w:r>
          </w:p>
          <w:p w14:paraId="1A2FF531" w14:textId="53A8426B" w:rsidR="00187815" w:rsidRPr="00995351" w:rsidRDefault="00187815" w:rsidP="006F4DB5">
            <w:pPr>
              <w:pStyle w:val="Tablebullet"/>
              <w:rPr>
                <w:sz w:val="23"/>
                <w:szCs w:val="23"/>
              </w:rPr>
            </w:pPr>
            <w:r w:rsidRPr="00995351">
              <w:rPr>
                <w:sz w:val="23"/>
                <w:szCs w:val="23"/>
              </w:rPr>
              <w:t xml:space="preserve">Working with </w:t>
            </w:r>
            <w:r w:rsidR="00FE067B" w:rsidRPr="00995351">
              <w:rPr>
                <w:sz w:val="23"/>
                <w:szCs w:val="23"/>
              </w:rPr>
              <w:t xml:space="preserve">the SLT and </w:t>
            </w:r>
            <w:r w:rsidRPr="00995351">
              <w:rPr>
                <w:sz w:val="23"/>
                <w:szCs w:val="23"/>
              </w:rPr>
              <w:t xml:space="preserve">wider government stakeholders, </w:t>
            </w:r>
            <w:r w:rsidR="007E6CEB" w:rsidRPr="00995351">
              <w:rPr>
                <w:sz w:val="23"/>
                <w:szCs w:val="23"/>
              </w:rPr>
              <w:t xml:space="preserve">provide the GCDO and </w:t>
            </w:r>
            <w:r w:rsidR="00FE067B" w:rsidRPr="00995351">
              <w:rPr>
                <w:sz w:val="23"/>
                <w:szCs w:val="23"/>
              </w:rPr>
              <w:t xml:space="preserve">Deputy GCDO with </w:t>
            </w:r>
            <w:r w:rsidR="00FE7241" w:rsidRPr="00995351">
              <w:rPr>
                <w:sz w:val="23"/>
                <w:szCs w:val="23"/>
              </w:rPr>
              <w:t>oversight and visibility of the GCDO work programme</w:t>
            </w:r>
            <w:r w:rsidRPr="00995351">
              <w:rPr>
                <w:sz w:val="23"/>
                <w:szCs w:val="23"/>
              </w:rPr>
              <w:t xml:space="preserve">, ensuring progress against </w:t>
            </w:r>
            <w:r w:rsidR="00FE067B" w:rsidRPr="00995351">
              <w:rPr>
                <w:sz w:val="23"/>
                <w:szCs w:val="23"/>
              </w:rPr>
              <w:t>all initiatives (lead, support, deliver)</w:t>
            </w:r>
            <w:r w:rsidR="007E6CEB" w:rsidRPr="00995351">
              <w:rPr>
                <w:sz w:val="23"/>
                <w:szCs w:val="23"/>
              </w:rPr>
              <w:t xml:space="preserve">, including </w:t>
            </w:r>
            <w:r w:rsidR="00FE067B" w:rsidRPr="00995351">
              <w:rPr>
                <w:sz w:val="23"/>
                <w:szCs w:val="23"/>
              </w:rPr>
              <w:t>risks and issues</w:t>
            </w:r>
            <w:r w:rsidR="007E6CEB" w:rsidRPr="00995351">
              <w:rPr>
                <w:sz w:val="23"/>
                <w:szCs w:val="23"/>
              </w:rPr>
              <w:t>,</w:t>
            </w:r>
            <w:r w:rsidR="00FE067B" w:rsidRPr="00995351">
              <w:rPr>
                <w:sz w:val="23"/>
                <w:szCs w:val="23"/>
              </w:rPr>
              <w:t xml:space="preserve"> </w:t>
            </w:r>
            <w:r w:rsidRPr="00995351">
              <w:rPr>
                <w:sz w:val="23"/>
                <w:szCs w:val="23"/>
              </w:rPr>
              <w:t xml:space="preserve">are </w:t>
            </w:r>
            <w:r w:rsidR="00FE067B" w:rsidRPr="00995351">
              <w:rPr>
                <w:sz w:val="23"/>
                <w:szCs w:val="23"/>
              </w:rPr>
              <w:t xml:space="preserve">regularly </w:t>
            </w:r>
            <w:r w:rsidRPr="00995351">
              <w:rPr>
                <w:sz w:val="23"/>
                <w:szCs w:val="23"/>
              </w:rPr>
              <w:t xml:space="preserve">monitored (or escalated where necessary) </w:t>
            </w:r>
            <w:r w:rsidR="00FE067B" w:rsidRPr="00995351">
              <w:rPr>
                <w:sz w:val="23"/>
                <w:szCs w:val="23"/>
              </w:rPr>
              <w:t>and reported on</w:t>
            </w:r>
          </w:p>
          <w:p w14:paraId="26292B6F" w14:textId="4B54471B" w:rsidR="002B45B9" w:rsidRPr="00995351" w:rsidRDefault="00FE067B" w:rsidP="00187815">
            <w:pPr>
              <w:pStyle w:val="Tablebullet"/>
              <w:rPr>
                <w:sz w:val="23"/>
                <w:szCs w:val="23"/>
              </w:rPr>
            </w:pPr>
            <w:r w:rsidRPr="00995351">
              <w:rPr>
                <w:sz w:val="23"/>
                <w:szCs w:val="23"/>
              </w:rPr>
              <w:t>Working with the SLT and wider government stakeholders l</w:t>
            </w:r>
            <w:r w:rsidR="002B45B9" w:rsidRPr="00995351">
              <w:rPr>
                <w:sz w:val="23"/>
                <w:szCs w:val="23"/>
              </w:rPr>
              <w:t xml:space="preserve">ead the development of measures and reporting </w:t>
            </w:r>
            <w:r w:rsidR="006F4DB5" w:rsidRPr="00995351">
              <w:rPr>
                <w:sz w:val="23"/>
                <w:szCs w:val="23"/>
              </w:rPr>
              <w:t xml:space="preserve">processes </w:t>
            </w:r>
            <w:r w:rsidR="00E54B26" w:rsidRPr="00995351">
              <w:rPr>
                <w:sz w:val="23"/>
                <w:szCs w:val="23"/>
              </w:rPr>
              <w:t>to</w:t>
            </w:r>
            <w:r w:rsidR="002B45B9" w:rsidRPr="00995351">
              <w:rPr>
                <w:sz w:val="23"/>
                <w:szCs w:val="23"/>
              </w:rPr>
              <w:t xml:space="preserve"> demonstrate progress against the </w:t>
            </w:r>
            <w:r w:rsidR="00995351">
              <w:rPr>
                <w:sz w:val="23"/>
                <w:szCs w:val="23"/>
              </w:rPr>
              <w:t>Branch</w:t>
            </w:r>
            <w:r w:rsidR="00E54B26" w:rsidRPr="00995351">
              <w:rPr>
                <w:sz w:val="23"/>
                <w:szCs w:val="23"/>
              </w:rPr>
              <w:t xml:space="preserve"> </w:t>
            </w:r>
            <w:r w:rsidR="002B45B9" w:rsidRPr="00995351">
              <w:rPr>
                <w:sz w:val="23"/>
                <w:szCs w:val="23"/>
              </w:rPr>
              <w:t xml:space="preserve">workplan and </w:t>
            </w:r>
            <w:r w:rsidR="00187815" w:rsidRPr="00995351">
              <w:rPr>
                <w:sz w:val="23"/>
                <w:szCs w:val="23"/>
              </w:rPr>
              <w:t>the wider GCDO work programme</w:t>
            </w:r>
          </w:p>
        </w:tc>
        <w:tc>
          <w:tcPr>
            <w:tcW w:w="3840" w:type="dxa"/>
            <w:tcBorders>
              <w:top w:val="nil"/>
              <w:left w:val="single" w:sz="6" w:space="0" w:color="1F546B" w:themeColor="text2"/>
              <w:bottom w:val="single" w:sz="6" w:space="0" w:color="1F546B" w:themeColor="text2"/>
              <w:right w:val="nil"/>
            </w:tcBorders>
          </w:tcPr>
          <w:p w14:paraId="64BD593E" w14:textId="66FA2B6E" w:rsidR="00DC0097" w:rsidRPr="00995351" w:rsidRDefault="00DF316E" w:rsidP="00CF4DBD">
            <w:pPr>
              <w:pStyle w:val="Tablebullet"/>
              <w:rPr>
                <w:sz w:val="23"/>
                <w:szCs w:val="23"/>
              </w:rPr>
            </w:pPr>
            <w:r w:rsidRPr="00995351">
              <w:rPr>
                <w:sz w:val="23"/>
                <w:szCs w:val="23"/>
              </w:rPr>
              <w:t xml:space="preserve">Established and effective planning and reporting strategies and processes are in place providing visibility of the </w:t>
            </w:r>
            <w:r w:rsidR="00995351">
              <w:rPr>
                <w:sz w:val="23"/>
                <w:szCs w:val="23"/>
              </w:rPr>
              <w:t>Branch</w:t>
            </w:r>
            <w:r w:rsidRPr="00995351">
              <w:rPr>
                <w:sz w:val="23"/>
                <w:szCs w:val="23"/>
              </w:rPr>
              <w:t xml:space="preserve"> and GCDO workplans and progress against them</w:t>
            </w:r>
          </w:p>
          <w:p w14:paraId="14740729" w14:textId="6EA3DACF" w:rsidR="00DF316E" w:rsidRPr="00995351" w:rsidRDefault="00DF316E" w:rsidP="00CF4DBD">
            <w:pPr>
              <w:pStyle w:val="Tablebullet"/>
              <w:rPr>
                <w:sz w:val="23"/>
                <w:szCs w:val="23"/>
              </w:rPr>
            </w:pPr>
            <w:r w:rsidRPr="00995351">
              <w:rPr>
                <w:sz w:val="23"/>
                <w:szCs w:val="23"/>
              </w:rPr>
              <w:t>Priorities are understood are constantly re</w:t>
            </w:r>
            <w:r w:rsidR="00977A8B" w:rsidRPr="00995351">
              <w:rPr>
                <w:sz w:val="23"/>
                <w:szCs w:val="23"/>
              </w:rPr>
              <w:t>flected in a well governed work</w:t>
            </w:r>
            <w:r w:rsidRPr="00995351">
              <w:rPr>
                <w:sz w:val="23"/>
                <w:szCs w:val="23"/>
              </w:rPr>
              <w:t>plan</w:t>
            </w:r>
            <w:r w:rsidR="00FE067B" w:rsidRPr="00995351">
              <w:rPr>
                <w:sz w:val="23"/>
                <w:szCs w:val="23"/>
              </w:rPr>
              <w:t xml:space="preserve"> that reflects the GCDO mandated programme of work and Ministerial Priorities</w:t>
            </w:r>
          </w:p>
        </w:tc>
      </w:tr>
      <w:tr w:rsidR="001776AB" w:rsidRPr="00995351" w14:paraId="710BA5C4" w14:textId="77777777" w:rsidTr="008C4A9E">
        <w:trPr>
          <w:cantSplit/>
        </w:trPr>
        <w:tc>
          <w:tcPr>
            <w:tcW w:w="5663" w:type="dxa"/>
            <w:tcBorders>
              <w:top w:val="nil"/>
              <w:left w:val="nil"/>
              <w:bottom w:val="single" w:sz="6" w:space="0" w:color="1F546B" w:themeColor="text2"/>
              <w:right w:val="single" w:sz="6" w:space="0" w:color="1F546B" w:themeColor="text2"/>
            </w:tcBorders>
          </w:tcPr>
          <w:p w14:paraId="48A86A42" w14:textId="052DFA73" w:rsidR="001776AB" w:rsidRPr="00995351" w:rsidRDefault="001776AB" w:rsidP="00EF42F8">
            <w:pPr>
              <w:pStyle w:val="Tablebullet"/>
              <w:numPr>
                <w:ilvl w:val="0"/>
                <w:numId w:val="0"/>
              </w:numPr>
              <w:rPr>
                <w:b/>
                <w:bCs/>
                <w:sz w:val="23"/>
                <w:szCs w:val="23"/>
              </w:rPr>
            </w:pPr>
            <w:r w:rsidRPr="00995351">
              <w:rPr>
                <w:b/>
                <w:bCs/>
                <w:sz w:val="23"/>
                <w:szCs w:val="23"/>
              </w:rPr>
              <w:lastRenderedPageBreak/>
              <w:t xml:space="preserve">Corporate </w:t>
            </w:r>
            <w:r w:rsidR="00836DA7" w:rsidRPr="00995351">
              <w:rPr>
                <w:b/>
                <w:bCs/>
                <w:sz w:val="23"/>
                <w:szCs w:val="23"/>
              </w:rPr>
              <w:t xml:space="preserve">and Ministerial </w:t>
            </w:r>
            <w:r w:rsidRPr="00995351">
              <w:rPr>
                <w:b/>
                <w:bCs/>
                <w:sz w:val="23"/>
                <w:szCs w:val="23"/>
              </w:rPr>
              <w:t>Accountability</w:t>
            </w:r>
          </w:p>
          <w:p w14:paraId="3ABF46EF" w14:textId="2BB691FB" w:rsidR="001776AB" w:rsidRPr="00995351" w:rsidRDefault="001776AB" w:rsidP="001776AB">
            <w:pPr>
              <w:pStyle w:val="Tablebullet"/>
              <w:rPr>
                <w:sz w:val="23"/>
                <w:szCs w:val="23"/>
              </w:rPr>
            </w:pPr>
            <w:r w:rsidRPr="00995351">
              <w:rPr>
                <w:sz w:val="23"/>
                <w:szCs w:val="23"/>
              </w:rPr>
              <w:t>Lead and the Branch’s input into the development of DIA’s 4-year plan and wider corporate accountability planning processes</w:t>
            </w:r>
          </w:p>
          <w:p w14:paraId="5D90FA94" w14:textId="77777777" w:rsidR="001776AB" w:rsidRPr="00995351" w:rsidRDefault="001776AB" w:rsidP="001776AB">
            <w:pPr>
              <w:pStyle w:val="Tablebullet"/>
              <w:rPr>
                <w:sz w:val="23"/>
                <w:szCs w:val="23"/>
              </w:rPr>
            </w:pPr>
            <w:r w:rsidRPr="00995351">
              <w:rPr>
                <w:sz w:val="23"/>
                <w:szCs w:val="23"/>
              </w:rPr>
              <w:t>Develop and maintain the Branch Disaster Recovery and Business Continuity Plans</w:t>
            </w:r>
          </w:p>
          <w:p w14:paraId="593DFDBB" w14:textId="19213CB6" w:rsidR="001776AB" w:rsidRPr="00995351" w:rsidRDefault="001776AB" w:rsidP="001776AB">
            <w:pPr>
              <w:pStyle w:val="Tablebullet"/>
              <w:rPr>
                <w:sz w:val="23"/>
                <w:szCs w:val="23"/>
              </w:rPr>
            </w:pPr>
            <w:r w:rsidRPr="00995351">
              <w:rPr>
                <w:sz w:val="23"/>
                <w:szCs w:val="23"/>
              </w:rPr>
              <w:t xml:space="preserve">Oversee the production of Branch performance reports, as required to support Departmental and Ministerial Governance and performance reporting </w:t>
            </w:r>
          </w:p>
          <w:p w14:paraId="3C5728E8" w14:textId="77777777" w:rsidR="001776AB" w:rsidRPr="00995351" w:rsidRDefault="001776AB" w:rsidP="001776AB">
            <w:pPr>
              <w:pStyle w:val="Tablebullet"/>
              <w:rPr>
                <w:b/>
                <w:bCs/>
                <w:sz w:val="23"/>
                <w:szCs w:val="23"/>
              </w:rPr>
            </w:pPr>
            <w:r w:rsidRPr="00995351">
              <w:rPr>
                <w:sz w:val="23"/>
                <w:szCs w:val="23"/>
              </w:rPr>
              <w:t xml:space="preserve">Support GM colleagues to establish planning and reporting processes that support the Branch’s wider corporate accountability requirements </w:t>
            </w:r>
          </w:p>
          <w:p w14:paraId="755ED8C3" w14:textId="77777777" w:rsidR="001776AB" w:rsidRPr="00995351" w:rsidRDefault="001776AB" w:rsidP="001776AB">
            <w:pPr>
              <w:pStyle w:val="Tablebullet"/>
              <w:rPr>
                <w:b/>
                <w:bCs/>
                <w:sz w:val="23"/>
                <w:szCs w:val="23"/>
              </w:rPr>
            </w:pPr>
            <w:r w:rsidRPr="00995351">
              <w:rPr>
                <w:sz w:val="23"/>
                <w:szCs w:val="23"/>
              </w:rPr>
              <w:t xml:space="preserve">Lead risk and assurance management for the Branch – maintaining and reporting against processes and activities designed to mitigate risk and provide assurance </w:t>
            </w:r>
          </w:p>
          <w:p w14:paraId="52AE9F22" w14:textId="205B377E" w:rsidR="00CA6047" w:rsidRPr="00995351" w:rsidRDefault="00CA6047" w:rsidP="00CA6047">
            <w:pPr>
              <w:pStyle w:val="Tablebullet"/>
              <w:rPr>
                <w:sz w:val="23"/>
                <w:szCs w:val="23"/>
              </w:rPr>
            </w:pPr>
            <w:r w:rsidRPr="00995351">
              <w:rPr>
                <w:sz w:val="23"/>
                <w:szCs w:val="23"/>
              </w:rPr>
              <w:t xml:space="preserve">Manages relationships with the Minister’s Office to ensure the effective and timely flow of quality information artefacts from the Branch to Ministers’ offices and from Ministers’ offices to the branch </w:t>
            </w:r>
          </w:p>
          <w:p w14:paraId="666CB2B7" w14:textId="6E990285" w:rsidR="00CA6047" w:rsidRPr="00995351" w:rsidRDefault="00CA6047" w:rsidP="00D85023">
            <w:pPr>
              <w:pStyle w:val="Tablebullet"/>
              <w:rPr>
                <w:sz w:val="23"/>
                <w:szCs w:val="23"/>
              </w:rPr>
            </w:pPr>
            <w:r w:rsidRPr="00995351">
              <w:rPr>
                <w:sz w:val="23"/>
                <w:szCs w:val="23"/>
              </w:rPr>
              <w:t>Manage the process and quality assurance systems for advice and reporting for the Minister</w:t>
            </w:r>
            <w:r w:rsidR="00D85023" w:rsidRPr="00995351">
              <w:rPr>
                <w:sz w:val="23"/>
                <w:szCs w:val="23"/>
              </w:rPr>
              <w:t>, ensuring all advice has had appropriate input from other Groups from within the Branch and other areas of the Department (where appropriate)</w:t>
            </w:r>
          </w:p>
          <w:p w14:paraId="6F4F4F8E" w14:textId="168F1C36" w:rsidR="00CA6047" w:rsidRPr="00995351" w:rsidRDefault="00CA6047" w:rsidP="00CA6047">
            <w:pPr>
              <w:pStyle w:val="Tablebullet"/>
              <w:rPr>
                <w:b/>
                <w:bCs/>
                <w:sz w:val="23"/>
                <w:szCs w:val="23"/>
              </w:rPr>
            </w:pPr>
            <w:r w:rsidRPr="00995351">
              <w:rPr>
                <w:sz w:val="23"/>
                <w:szCs w:val="23"/>
              </w:rPr>
              <w:t>Manage the connection between the branch/GCDO and the Office of the Chief Executive to ensure the alignment and that the GCDO is well supported</w:t>
            </w:r>
          </w:p>
        </w:tc>
        <w:tc>
          <w:tcPr>
            <w:tcW w:w="3852" w:type="dxa"/>
            <w:gridSpan w:val="2"/>
            <w:tcBorders>
              <w:top w:val="nil"/>
              <w:left w:val="single" w:sz="6" w:space="0" w:color="1F546B" w:themeColor="text2"/>
              <w:bottom w:val="single" w:sz="6" w:space="0" w:color="1F546B" w:themeColor="text2"/>
              <w:right w:val="nil"/>
            </w:tcBorders>
          </w:tcPr>
          <w:p w14:paraId="71489190" w14:textId="77777777" w:rsidR="001776AB" w:rsidRPr="00995351" w:rsidRDefault="00D92909" w:rsidP="007C1061">
            <w:pPr>
              <w:pStyle w:val="Tablebullet"/>
              <w:rPr>
                <w:sz w:val="23"/>
                <w:szCs w:val="23"/>
              </w:rPr>
            </w:pPr>
            <w:r w:rsidRPr="00995351">
              <w:rPr>
                <w:sz w:val="23"/>
                <w:szCs w:val="23"/>
              </w:rPr>
              <w:t>Compliance with DIA’s corporate policies, including effective business planning and reporting and financial and risk management</w:t>
            </w:r>
          </w:p>
          <w:p w14:paraId="50ABFCBC" w14:textId="73B5AB4B" w:rsidR="00DF316E" w:rsidRPr="00995351" w:rsidRDefault="00DF1155" w:rsidP="007C1061">
            <w:pPr>
              <w:pStyle w:val="Tablebullet"/>
              <w:rPr>
                <w:sz w:val="23"/>
                <w:szCs w:val="23"/>
              </w:rPr>
            </w:pPr>
            <w:r w:rsidRPr="00995351">
              <w:rPr>
                <w:sz w:val="23"/>
                <w:szCs w:val="23"/>
              </w:rPr>
              <w:t xml:space="preserve">Relationships with Ministers’ Officers are robust and reflect Ministers report satisfaction with the advice from </w:t>
            </w:r>
            <w:r w:rsidR="00995351">
              <w:rPr>
                <w:sz w:val="23"/>
                <w:szCs w:val="23"/>
              </w:rPr>
              <w:t>the Branch</w:t>
            </w:r>
          </w:p>
        </w:tc>
      </w:tr>
      <w:tr w:rsidR="00836DA7" w:rsidRPr="00995351" w14:paraId="690980AE" w14:textId="77777777" w:rsidTr="00581755">
        <w:trPr>
          <w:cantSplit/>
        </w:trPr>
        <w:tc>
          <w:tcPr>
            <w:tcW w:w="5675" w:type="dxa"/>
            <w:gridSpan w:val="2"/>
            <w:tcBorders>
              <w:top w:val="nil"/>
              <w:left w:val="nil"/>
              <w:bottom w:val="single" w:sz="6" w:space="0" w:color="1F546B" w:themeColor="text2"/>
              <w:right w:val="single" w:sz="6" w:space="0" w:color="1F546B" w:themeColor="text2"/>
            </w:tcBorders>
          </w:tcPr>
          <w:p w14:paraId="2BFAEEEC" w14:textId="77777777" w:rsidR="00836DA7" w:rsidRPr="00995351" w:rsidRDefault="00836DA7" w:rsidP="00836DA7">
            <w:pPr>
              <w:pStyle w:val="Tablebullet"/>
              <w:numPr>
                <w:ilvl w:val="0"/>
                <w:numId w:val="0"/>
              </w:numPr>
              <w:rPr>
                <w:b/>
                <w:bCs/>
                <w:sz w:val="23"/>
                <w:szCs w:val="23"/>
              </w:rPr>
            </w:pPr>
            <w:r w:rsidRPr="00995351">
              <w:rPr>
                <w:b/>
                <w:bCs/>
                <w:sz w:val="23"/>
                <w:szCs w:val="23"/>
              </w:rPr>
              <w:t>International Engagement</w:t>
            </w:r>
          </w:p>
          <w:p w14:paraId="4B5908D7" w14:textId="36300650" w:rsidR="00836DA7" w:rsidRPr="00995351" w:rsidRDefault="00257FB6" w:rsidP="00836DA7">
            <w:pPr>
              <w:pStyle w:val="Tablebullet"/>
              <w:rPr>
                <w:sz w:val="23"/>
                <w:szCs w:val="23"/>
              </w:rPr>
            </w:pPr>
            <w:r>
              <w:rPr>
                <w:sz w:val="23"/>
                <w:szCs w:val="23"/>
              </w:rPr>
              <w:t>Lead</w:t>
            </w:r>
            <w:r w:rsidR="00836DA7" w:rsidRPr="00995351">
              <w:rPr>
                <w:sz w:val="23"/>
                <w:szCs w:val="23"/>
              </w:rPr>
              <w:t xml:space="preserve"> the GCDO’s international leadership role in digital transformation is effectively coordinated and supported </w:t>
            </w:r>
          </w:p>
          <w:p w14:paraId="4F640700" w14:textId="16028453" w:rsidR="00836DA7" w:rsidRPr="00995351" w:rsidRDefault="00257FB6" w:rsidP="00836DA7">
            <w:pPr>
              <w:pStyle w:val="Tablebullet"/>
              <w:rPr>
                <w:sz w:val="23"/>
                <w:szCs w:val="23"/>
              </w:rPr>
            </w:pPr>
            <w:r>
              <w:rPr>
                <w:sz w:val="23"/>
                <w:szCs w:val="23"/>
              </w:rPr>
              <w:t>Build and m</w:t>
            </w:r>
            <w:r w:rsidR="00836DA7" w:rsidRPr="00995351">
              <w:rPr>
                <w:sz w:val="23"/>
                <w:szCs w:val="23"/>
              </w:rPr>
              <w:t>aintain engagement with international bodies, governments and key international thought leaders – conveying New Zealand’s digital transformation journey and acting as a conduit for learning from international counterparts</w:t>
            </w:r>
          </w:p>
          <w:p w14:paraId="64AC5E26" w14:textId="76740B0B" w:rsidR="00836DA7" w:rsidRDefault="00836DA7" w:rsidP="00836DA7">
            <w:pPr>
              <w:pStyle w:val="Tablebullet"/>
              <w:rPr>
                <w:sz w:val="23"/>
                <w:szCs w:val="23"/>
              </w:rPr>
            </w:pPr>
            <w:r w:rsidRPr="00995351">
              <w:rPr>
                <w:sz w:val="23"/>
                <w:szCs w:val="23"/>
              </w:rPr>
              <w:t xml:space="preserve">Support the GCDO and Deputy GCDO in their </w:t>
            </w:r>
            <w:r w:rsidR="00257FB6">
              <w:rPr>
                <w:sz w:val="23"/>
                <w:szCs w:val="23"/>
              </w:rPr>
              <w:t xml:space="preserve">international engagement, including </w:t>
            </w:r>
            <w:r w:rsidR="00977A8B" w:rsidRPr="00995351">
              <w:rPr>
                <w:sz w:val="23"/>
                <w:szCs w:val="23"/>
              </w:rPr>
              <w:t xml:space="preserve">OECD </w:t>
            </w:r>
            <w:r w:rsidR="00257FB6">
              <w:rPr>
                <w:sz w:val="23"/>
                <w:szCs w:val="23"/>
              </w:rPr>
              <w:t>and the D9</w:t>
            </w:r>
          </w:p>
          <w:p w14:paraId="60B360B6" w14:textId="729D2605" w:rsidR="00257FB6" w:rsidRPr="00995351" w:rsidRDefault="00257FB6" w:rsidP="00836DA7">
            <w:pPr>
              <w:pStyle w:val="Tablebullet"/>
              <w:rPr>
                <w:sz w:val="23"/>
                <w:szCs w:val="23"/>
              </w:rPr>
            </w:pPr>
            <w:r>
              <w:rPr>
                <w:sz w:val="23"/>
                <w:szCs w:val="23"/>
              </w:rPr>
              <w:t>Ensure the effective strategic engagement with agencies, government and non-government stakeholders</w:t>
            </w:r>
          </w:p>
        </w:tc>
        <w:tc>
          <w:tcPr>
            <w:tcW w:w="3840" w:type="dxa"/>
            <w:tcBorders>
              <w:top w:val="nil"/>
              <w:left w:val="single" w:sz="6" w:space="0" w:color="1F546B" w:themeColor="text2"/>
              <w:bottom w:val="single" w:sz="6" w:space="0" w:color="1F546B" w:themeColor="text2"/>
              <w:right w:val="nil"/>
            </w:tcBorders>
          </w:tcPr>
          <w:p w14:paraId="110CD001" w14:textId="1F517EDF" w:rsidR="00836DA7" w:rsidRPr="00995351" w:rsidRDefault="00DF1155" w:rsidP="00CF4DBD">
            <w:pPr>
              <w:pStyle w:val="Tablebullet"/>
              <w:rPr>
                <w:sz w:val="23"/>
                <w:szCs w:val="23"/>
              </w:rPr>
            </w:pPr>
            <w:r w:rsidRPr="00995351">
              <w:rPr>
                <w:sz w:val="23"/>
                <w:szCs w:val="23"/>
              </w:rPr>
              <w:t xml:space="preserve">International bodies </w:t>
            </w:r>
            <w:r w:rsidR="00257FB6">
              <w:rPr>
                <w:sz w:val="23"/>
                <w:szCs w:val="23"/>
              </w:rPr>
              <w:t>receive</w:t>
            </w:r>
            <w:r w:rsidRPr="00995351">
              <w:rPr>
                <w:sz w:val="23"/>
                <w:szCs w:val="23"/>
              </w:rPr>
              <w:t xml:space="preserve"> </w:t>
            </w:r>
            <w:r w:rsidR="00257FB6">
              <w:rPr>
                <w:sz w:val="23"/>
                <w:szCs w:val="23"/>
              </w:rPr>
              <w:t>strategic engagement and GCDO and branch obligations are met</w:t>
            </w:r>
          </w:p>
          <w:p w14:paraId="5C920653" w14:textId="53E9A19C" w:rsidR="00DF1155" w:rsidRPr="00995351" w:rsidRDefault="00DF1155" w:rsidP="00CF4DBD">
            <w:pPr>
              <w:pStyle w:val="Tablebullet"/>
              <w:rPr>
                <w:sz w:val="23"/>
                <w:szCs w:val="23"/>
              </w:rPr>
            </w:pPr>
            <w:r w:rsidRPr="00995351">
              <w:rPr>
                <w:sz w:val="23"/>
                <w:szCs w:val="23"/>
              </w:rPr>
              <w:t xml:space="preserve">The </w:t>
            </w:r>
            <w:r w:rsidR="00257FB6">
              <w:rPr>
                <w:sz w:val="23"/>
                <w:szCs w:val="23"/>
              </w:rPr>
              <w:t xml:space="preserve">Minister, </w:t>
            </w:r>
            <w:r w:rsidRPr="00995351">
              <w:rPr>
                <w:sz w:val="23"/>
                <w:szCs w:val="23"/>
              </w:rPr>
              <w:t>GCDO and Deputy GCDO are satisfied with the support they receive in managing their international relationships</w:t>
            </w:r>
          </w:p>
        </w:tc>
      </w:tr>
      <w:tr w:rsidR="00353C40" w:rsidRPr="00995351" w14:paraId="2763713D" w14:textId="77777777" w:rsidTr="00581755">
        <w:trPr>
          <w:cantSplit/>
        </w:trPr>
        <w:tc>
          <w:tcPr>
            <w:tcW w:w="5675" w:type="dxa"/>
            <w:gridSpan w:val="2"/>
            <w:tcBorders>
              <w:top w:val="nil"/>
              <w:left w:val="nil"/>
              <w:bottom w:val="single" w:sz="6" w:space="0" w:color="1F546B" w:themeColor="text2"/>
              <w:right w:val="single" w:sz="6" w:space="0" w:color="1F546B" w:themeColor="text2"/>
            </w:tcBorders>
          </w:tcPr>
          <w:p w14:paraId="3A6D786D" w14:textId="57CBED97" w:rsidR="00353C40" w:rsidRPr="00995351" w:rsidRDefault="00353C40" w:rsidP="00CF4DBD">
            <w:pPr>
              <w:pStyle w:val="Tablenormal0"/>
              <w:rPr>
                <w:b/>
                <w:bCs/>
                <w:sz w:val="23"/>
                <w:szCs w:val="23"/>
              </w:rPr>
            </w:pPr>
            <w:r w:rsidRPr="00995351">
              <w:rPr>
                <w:b/>
                <w:bCs/>
                <w:sz w:val="23"/>
                <w:szCs w:val="23"/>
              </w:rPr>
              <w:lastRenderedPageBreak/>
              <w:t>Relationship and Stakeholder Engagement</w:t>
            </w:r>
          </w:p>
          <w:p w14:paraId="424ADD68" w14:textId="4D1CA849" w:rsidR="00D85023" w:rsidRPr="00995351" w:rsidRDefault="00D85023" w:rsidP="00C54AC8">
            <w:pPr>
              <w:pStyle w:val="Tablebullet"/>
              <w:rPr>
                <w:sz w:val="23"/>
                <w:szCs w:val="23"/>
              </w:rPr>
            </w:pPr>
            <w:r w:rsidRPr="00995351">
              <w:rPr>
                <w:sz w:val="23"/>
                <w:szCs w:val="23"/>
              </w:rPr>
              <w:t>Proactively</w:t>
            </w:r>
            <w:r w:rsidR="00C45FE4" w:rsidRPr="00995351">
              <w:rPr>
                <w:sz w:val="23"/>
                <w:szCs w:val="23"/>
              </w:rPr>
              <w:t xml:space="preserve"> build and maintain effective </w:t>
            </w:r>
            <w:r w:rsidRPr="00995351">
              <w:rPr>
                <w:sz w:val="23"/>
                <w:szCs w:val="23"/>
              </w:rPr>
              <w:t>relationships</w:t>
            </w:r>
            <w:r w:rsidR="00C45FE4" w:rsidRPr="00995351">
              <w:rPr>
                <w:sz w:val="23"/>
                <w:szCs w:val="23"/>
              </w:rPr>
              <w:t xml:space="preserve"> with senior leadership colleagues both within the branch, across the Department and the wider public sector</w:t>
            </w:r>
          </w:p>
          <w:p w14:paraId="6554AF48" w14:textId="68C28579" w:rsidR="00D85023" w:rsidRPr="00995351" w:rsidRDefault="00D85023" w:rsidP="00C54AC8">
            <w:pPr>
              <w:pStyle w:val="Tablebullet"/>
              <w:rPr>
                <w:sz w:val="23"/>
                <w:szCs w:val="23"/>
              </w:rPr>
            </w:pPr>
            <w:r w:rsidRPr="00995351">
              <w:rPr>
                <w:sz w:val="23"/>
                <w:szCs w:val="23"/>
              </w:rPr>
              <w:t xml:space="preserve">Develop and maintain effective relationships with ministers’ offices, ministerial officials’ groups and other key external stakeholders </w:t>
            </w:r>
          </w:p>
          <w:p w14:paraId="09876141" w14:textId="330B90BA" w:rsidR="00F26B4E" w:rsidRPr="00995351" w:rsidRDefault="00F26B4E" w:rsidP="00C54AC8">
            <w:pPr>
              <w:pStyle w:val="Tablebullet"/>
              <w:rPr>
                <w:sz w:val="23"/>
                <w:szCs w:val="23"/>
              </w:rPr>
            </w:pPr>
            <w:r w:rsidRPr="00995351">
              <w:rPr>
                <w:sz w:val="23"/>
                <w:szCs w:val="23"/>
              </w:rPr>
              <w:t>Play a key GCDO leadership role across the public sector</w:t>
            </w:r>
          </w:p>
          <w:p w14:paraId="526B3B47" w14:textId="3B6FCA96" w:rsidR="00353C40" w:rsidRPr="00995351" w:rsidRDefault="00D85023" w:rsidP="005F649D">
            <w:pPr>
              <w:pStyle w:val="Tablebullet"/>
              <w:rPr>
                <w:sz w:val="23"/>
                <w:szCs w:val="23"/>
              </w:rPr>
            </w:pPr>
            <w:r w:rsidRPr="00995351">
              <w:rPr>
                <w:sz w:val="23"/>
                <w:szCs w:val="23"/>
              </w:rPr>
              <w:t>Ensure effective working relationships between the Branch, other branches, the Organisational Strategy &amp; Performance Group and Department</w:t>
            </w:r>
            <w:r w:rsidR="00F26B4E" w:rsidRPr="00995351">
              <w:rPr>
                <w:sz w:val="23"/>
                <w:szCs w:val="23"/>
              </w:rPr>
              <w:t>-</w:t>
            </w:r>
            <w:r w:rsidRPr="00995351">
              <w:rPr>
                <w:sz w:val="23"/>
                <w:szCs w:val="23"/>
              </w:rPr>
              <w:t>wide Branch Development &amp; Support Managers</w:t>
            </w:r>
          </w:p>
          <w:p w14:paraId="2B7353E5" w14:textId="41E13BF7" w:rsidR="00F26B4E" w:rsidRPr="00995351" w:rsidRDefault="00D85023" w:rsidP="00977A8B">
            <w:pPr>
              <w:pStyle w:val="Tablebullet"/>
              <w:rPr>
                <w:sz w:val="23"/>
                <w:szCs w:val="23"/>
              </w:rPr>
            </w:pPr>
            <w:r w:rsidRPr="00995351">
              <w:rPr>
                <w:sz w:val="23"/>
                <w:szCs w:val="23"/>
              </w:rPr>
              <w:t>Maintain effective relationships with DIA Business Partners to ensure corporate expectations are embedded into the work of the branch</w:t>
            </w:r>
          </w:p>
        </w:tc>
        <w:tc>
          <w:tcPr>
            <w:tcW w:w="3840" w:type="dxa"/>
            <w:tcBorders>
              <w:top w:val="nil"/>
              <w:left w:val="single" w:sz="6" w:space="0" w:color="1F546B" w:themeColor="text2"/>
              <w:bottom w:val="single" w:sz="6" w:space="0" w:color="1F546B" w:themeColor="text2"/>
              <w:right w:val="nil"/>
            </w:tcBorders>
          </w:tcPr>
          <w:p w14:paraId="7B11E637" w14:textId="26C46077" w:rsidR="00DF1155" w:rsidRPr="00995351" w:rsidRDefault="00DF1155" w:rsidP="00CF4DBD">
            <w:pPr>
              <w:pStyle w:val="Tablebullet"/>
              <w:rPr>
                <w:sz w:val="23"/>
                <w:szCs w:val="23"/>
              </w:rPr>
            </w:pPr>
            <w:r w:rsidRPr="00995351">
              <w:rPr>
                <w:sz w:val="23"/>
                <w:szCs w:val="23"/>
              </w:rPr>
              <w:t>Effective relationships are developed and maintained across the bran</w:t>
            </w:r>
            <w:r w:rsidR="00F26B4E" w:rsidRPr="00995351">
              <w:rPr>
                <w:sz w:val="23"/>
                <w:szCs w:val="23"/>
              </w:rPr>
              <w:t>ch, Ministers’ Offices and the public sector</w:t>
            </w:r>
          </w:p>
          <w:p w14:paraId="02663DF4" w14:textId="6B950D81" w:rsidR="00423E37" w:rsidRPr="00995351" w:rsidRDefault="00423E37" w:rsidP="00423E37">
            <w:pPr>
              <w:pStyle w:val="Tablebullet"/>
              <w:numPr>
                <w:ilvl w:val="0"/>
                <w:numId w:val="0"/>
              </w:numPr>
              <w:ind w:left="357"/>
              <w:rPr>
                <w:sz w:val="23"/>
                <w:szCs w:val="23"/>
              </w:rPr>
            </w:pPr>
          </w:p>
        </w:tc>
      </w:tr>
      <w:tr w:rsidR="00581755" w:rsidRPr="00995351" w14:paraId="0CE87E7B" w14:textId="77777777" w:rsidTr="007C1061">
        <w:trPr>
          <w:cantSplit/>
        </w:trPr>
        <w:tc>
          <w:tcPr>
            <w:tcW w:w="5675" w:type="dxa"/>
            <w:gridSpan w:val="2"/>
            <w:tcBorders>
              <w:top w:val="nil"/>
              <w:left w:val="nil"/>
              <w:bottom w:val="single" w:sz="6" w:space="0" w:color="1F546B" w:themeColor="text2"/>
              <w:right w:val="single" w:sz="6" w:space="0" w:color="1F546B" w:themeColor="text2"/>
            </w:tcBorders>
          </w:tcPr>
          <w:p w14:paraId="2CFC0276" w14:textId="77777777" w:rsidR="00581755" w:rsidRPr="00995351" w:rsidRDefault="00581755" w:rsidP="007C1061">
            <w:pPr>
              <w:rPr>
                <w:b/>
                <w:bCs/>
                <w:sz w:val="23"/>
                <w:szCs w:val="23"/>
              </w:rPr>
            </w:pPr>
            <w:r w:rsidRPr="00995351">
              <w:rPr>
                <w:b/>
                <w:bCs/>
                <w:sz w:val="23"/>
                <w:szCs w:val="23"/>
              </w:rPr>
              <w:t>People Leadership &amp; Management</w:t>
            </w:r>
          </w:p>
          <w:p w14:paraId="5AF7366B" w14:textId="77777777" w:rsidR="00581755" w:rsidRPr="00995351" w:rsidRDefault="00581755" w:rsidP="00581755">
            <w:pPr>
              <w:numPr>
                <w:ilvl w:val="0"/>
                <w:numId w:val="35"/>
              </w:numPr>
              <w:spacing w:before="0" w:after="60"/>
              <w:ind w:left="318" w:hanging="318"/>
              <w:rPr>
                <w:bCs/>
                <w:sz w:val="23"/>
                <w:szCs w:val="23"/>
              </w:rPr>
            </w:pPr>
            <w:r w:rsidRPr="00995351">
              <w:rPr>
                <w:bCs/>
                <w:sz w:val="23"/>
                <w:szCs w:val="23"/>
              </w:rPr>
              <w:t>Recruit, lead and manage people in line with HR guidelines and the Senior Leader profile of the DIA Capability Framework</w:t>
            </w:r>
          </w:p>
          <w:p w14:paraId="58EF80A2" w14:textId="77777777" w:rsidR="00581755" w:rsidRPr="00995351" w:rsidRDefault="00581755" w:rsidP="00581755">
            <w:pPr>
              <w:numPr>
                <w:ilvl w:val="0"/>
                <w:numId w:val="35"/>
              </w:numPr>
              <w:spacing w:before="0" w:after="60"/>
              <w:ind w:left="318" w:hanging="318"/>
              <w:rPr>
                <w:bCs/>
                <w:sz w:val="23"/>
                <w:szCs w:val="23"/>
              </w:rPr>
            </w:pPr>
            <w:r w:rsidRPr="00995351">
              <w:rPr>
                <w:bCs/>
                <w:sz w:val="23"/>
                <w:szCs w:val="23"/>
              </w:rPr>
              <w:t>Provide support and coaching to direct reports in relation to people leadership and management, to ensure the group recruits, develops, supports and retains high performing staff</w:t>
            </w:r>
          </w:p>
          <w:p w14:paraId="7726B7EA" w14:textId="77777777" w:rsidR="00581755" w:rsidRPr="00995351" w:rsidRDefault="00581755" w:rsidP="00581755">
            <w:pPr>
              <w:numPr>
                <w:ilvl w:val="0"/>
                <w:numId w:val="35"/>
              </w:numPr>
              <w:spacing w:before="0" w:after="60"/>
              <w:ind w:left="318" w:hanging="318"/>
              <w:rPr>
                <w:bCs/>
                <w:sz w:val="23"/>
                <w:szCs w:val="23"/>
              </w:rPr>
            </w:pPr>
            <w:r w:rsidRPr="00995351">
              <w:rPr>
                <w:bCs/>
                <w:sz w:val="23"/>
                <w:szCs w:val="23"/>
              </w:rPr>
              <w:t>Manage the performance and development of staff in accordance with DIA processes and the needs and priorities of the group, contributing to the branch and wider departmental talent development</w:t>
            </w:r>
          </w:p>
          <w:p w14:paraId="236A8FE2" w14:textId="77777777" w:rsidR="00581755" w:rsidRPr="00995351" w:rsidRDefault="00581755" w:rsidP="00581755">
            <w:pPr>
              <w:numPr>
                <w:ilvl w:val="0"/>
                <w:numId w:val="35"/>
              </w:numPr>
              <w:spacing w:before="0" w:after="60"/>
              <w:ind w:left="318" w:hanging="318"/>
              <w:rPr>
                <w:bCs/>
                <w:sz w:val="23"/>
                <w:szCs w:val="23"/>
              </w:rPr>
            </w:pPr>
            <w:r w:rsidRPr="00995351">
              <w:rPr>
                <w:bCs/>
                <w:sz w:val="23"/>
                <w:szCs w:val="23"/>
              </w:rPr>
              <w:t>Support all Departmental organisational development activities, modelling expected behaviours to managers and staff to create healthy workplace culture and engaged workforce</w:t>
            </w:r>
          </w:p>
          <w:p w14:paraId="4A1E9EF4" w14:textId="1B7959D4" w:rsidR="00581755" w:rsidRPr="00995351" w:rsidRDefault="00581755" w:rsidP="00581755">
            <w:pPr>
              <w:numPr>
                <w:ilvl w:val="0"/>
                <w:numId w:val="35"/>
              </w:numPr>
              <w:spacing w:before="0" w:after="60"/>
              <w:ind w:left="318" w:hanging="318"/>
              <w:rPr>
                <w:bCs/>
                <w:sz w:val="23"/>
                <w:szCs w:val="23"/>
              </w:rPr>
            </w:pPr>
            <w:r w:rsidRPr="00995351">
              <w:rPr>
                <w:bCs/>
                <w:sz w:val="23"/>
                <w:szCs w:val="23"/>
              </w:rPr>
              <w:t>Drive and enable information sharing and collaboration between business groups and across the wider department</w:t>
            </w:r>
          </w:p>
        </w:tc>
        <w:tc>
          <w:tcPr>
            <w:tcW w:w="3840" w:type="dxa"/>
            <w:tcBorders>
              <w:top w:val="nil"/>
              <w:left w:val="single" w:sz="6" w:space="0" w:color="1F546B" w:themeColor="text2"/>
              <w:bottom w:val="single" w:sz="6" w:space="0" w:color="1F546B" w:themeColor="text2"/>
              <w:right w:val="nil"/>
            </w:tcBorders>
          </w:tcPr>
          <w:p w14:paraId="13C4C5EB" w14:textId="77777777" w:rsidR="00581755" w:rsidRPr="00995351" w:rsidRDefault="00581755" w:rsidP="007C1061">
            <w:pPr>
              <w:spacing w:before="40" w:after="40"/>
              <w:ind w:left="357"/>
              <w:rPr>
                <w:sz w:val="23"/>
                <w:szCs w:val="23"/>
              </w:rPr>
            </w:pPr>
          </w:p>
          <w:p w14:paraId="7EE98296" w14:textId="77777777" w:rsidR="00581755" w:rsidRPr="00995351" w:rsidRDefault="00581755" w:rsidP="00581755">
            <w:pPr>
              <w:numPr>
                <w:ilvl w:val="0"/>
                <w:numId w:val="35"/>
              </w:numPr>
              <w:spacing w:before="0" w:after="60"/>
              <w:ind w:left="318" w:hanging="318"/>
              <w:rPr>
                <w:sz w:val="23"/>
                <w:szCs w:val="23"/>
              </w:rPr>
            </w:pPr>
            <w:r w:rsidRPr="00995351">
              <w:rPr>
                <w:sz w:val="23"/>
                <w:szCs w:val="23"/>
              </w:rPr>
              <w:t>Behaviour aligns with DIA’s Senior Leader Capability Framework success profile</w:t>
            </w:r>
          </w:p>
          <w:p w14:paraId="5F43B9DD" w14:textId="77777777" w:rsidR="00581755" w:rsidRPr="00995351" w:rsidRDefault="00581755" w:rsidP="00581755">
            <w:pPr>
              <w:numPr>
                <w:ilvl w:val="0"/>
                <w:numId w:val="35"/>
              </w:numPr>
              <w:spacing w:before="0" w:after="60"/>
              <w:ind w:left="318" w:hanging="318"/>
              <w:rPr>
                <w:sz w:val="23"/>
                <w:szCs w:val="23"/>
              </w:rPr>
            </w:pPr>
            <w:r w:rsidRPr="00995351">
              <w:rPr>
                <w:sz w:val="23"/>
                <w:szCs w:val="23"/>
              </w:rPr>
              <w:t>Leadership and people management meets expectations set out in DIA’s people policies and practices</w:t>
            </w:r>
          </w:p>
          <w:p w14:paraId="443E396A" w14:textId="77777777" w:rsidR="00581755" w:rsidRPr="00995351" w:rsidRDefault="00581755" w:rsidP="00581755">
            <w:pPr>
              <w:numPr>
                <w:ilvl w:val="0"/>
                <w:numId w:val="35"/>
              </w:numPr>
              <w:spacing w:before="0" w:after="60"/>
              <w:ind w:left="318" w:hanging="318"/>
              <w:rPr>
                <w:sz w:val="23"/>
                <w:szCs w:val="23"/>
              </w:rPr>
            </w:pPr>
            <w:r w:rsidRPr="00995351">
              <w:rPr>
                <w:sz w:val="23"/>
                <w:szCs w:val="23"/>
              </w:rPr>
              <w:t xml:space="preserve">A high performing and high potential workforce </w:t>
            </w:r>
            <w:proofErr w:type="gramStart"/>
            <w:r w:rsidRPr="00995351">
              <w:rPr>
                <w:sz w:val="23"/>
                <w:szCs w:val="23"/>
              </w:rPr>
              <w:t>is</w:t>
            </w:r>
            <w:proofErr w:type="gramEnd"/>
            <w:r w:rsidRPr="00995351">
              <w:rPr>
                <w:sz w:val="23"/>
                <w:szCs w:val="23"/>
              </w:rPr>
              <w:t xml:space="preserve"> supported and retained and is well represented within the DIA talent development framework</w:t>
            </w:r>
          </w:p>
          <w:p w14:paraId="222D6117" w14:textId="77777777" w:rsidR="00581755" w:rsidRPr="00995351" w:rsidRDefault="00581755" w:rsidP="00581755">
            <w:pPr>
              <w:numPr>
                <w:ilvl w:val="0"/>
                <w:numId w:val="35"/>
              </w:numPr>
              <w:spacing w:before="0" w:after="60"/>
              <w:ind w:left="318" w:hanging="318"/>
              <w:rPr>
                <w:sz w:val="23"/>
                <w:szCs w:val="23"/>
              </w:rPr>
            </w:pPr>
            <w:r w:rsidRPr="00995351">
              <w:rPr>
                <w:sz w:val="23"/>
                <w:szCs w:val="23"/>
              </w:rPr>
              <w:t>All staff have a performance and development plan in place that support business needs and aligns with DIA processes</w:t>
            </w:r>
          </w:p>
          <w:p w14:paraId="41F27111" w14:textId="77777777" w:rsidR="00581755" w:rsidRPr="00995351" w:rsidRDefault="00581755" w:rsidP="00581755">
            <w:pPr>
              <w:numPr>
                <w:ilvl w:val="0"/>
                <w:numId w:val="35"/>
              </w:numPr>
              <w:spacing w:before="0" w:after="60"/>
              <w:ind w:left="318" w:hanging="318"/>
              <w:rPr>
                <w:sz w:val="23"/>
                <w:szCs w:val="23"/>
              </w:rPr>
            </w:pPr>
            <w:r w:rsidRPr="00995351">
              <w:rPr>
                <w:sz w:val="23"/>
                <w:szCs w:val="23"/>
              </w:rPr>
              <w:t>Regular culture and engagement activities are undertaken</w:t>
            </w:r>
          </w:p>
        </w:tc>
      </w:tr>
      <w:tr w:rsidR="0041178D" w:rsidRPr="003D175D" w14:paraId="353590C0" w14:textId="77777777" w:rsidTr="00581755">
        <w:trPr>
          <w:cantSplit/>
        </w:trPr>
        <w:tc>
          <w:tcPr>
            <w:tcW w:w="5675" w:type="dxa"/>
            <w:gridSpan w:val="2"/>
            <w:tcBorders>
              <w:top w:val="nil"/>
              <w:left w:val="nil"/>
              <w:bottom w:val="nil"/>
              <w:right w:val="single" w:sz="6" w:space="0" w:color="1F546B" w:themeColor="text2"/>
            </w:tcBorders>
          </w:tcPr>
          <w:p w14:paraId="4E48FE56" w14:textId="77777777" w:rsidR="0041178D" w:rsidRPr="003D175D" w:rsidRDefault="0041178D" w:rsidP="003D175D">
            <w:pPr>
              <w:pStyle w:val="Tablenormal0"/>
              <w:rPr>
                <w:b/>
                <w:bCs/>
              </w:rPr>
            </w:pPr>
            <w:r>
              <w:rPr>
                <w:b/>
                <w:bCs/>
              </w:rPr>
              <w:t>Health and safety (for self)</w:t>
            </w:r>
          </w:p>
          <w:p w14:paraId="61521849" w14:textId="77777777" w:rsidR="0041178D" w:rsidRDefault="0041178D" w:rsidP="00110ADF">
            <w:pPr>
              <w:pStyle w:val="Tablebullet"/>
            </w:pPr>
            <w:r>
              <w:t>Work safely and take responsibility for keeping self and colleagues free from harm</w:t>
            </w:r>
          </w:p>
          <w:p w14:paraId="257A89B4" w14:textId="77777777" w:rsidR="0041178D" w:rsidRDefault="0041178D" w:rsidP="00110ADF">
            <w:pPr>
              <w:pStyle w:val="Tablebullet"/>
            </w:pPr>
            <w:r>
              <w:t>Report all incidents and hazards promptly</w:t>
            </w:r>
          </w:p>
          <w:p w14:paraId="6901886B" w14:textId="77777777" w:rsidR="0041178D" w:rsidRDefault="0041178D" w:rsidP="00110ADF">
            <w:pPr>
              <w:pStyle w:val="Tablebullet"/>
            </w:pPr>
            <w:r>
              <w:t>Know what to do in the event of an emergency</w:t>
            </w:r>
          </w:p>
          <w:p w14:paraId="7ADB5C64" w14:textId="77777777" w:rsidR="0041178D" w:rsidRPr="003D175D" w:rsidRDefault="0041178D" w:rsidP="00110ADF">
            <w:pPr>
              <w:pStyle w:val="Tablebullet"/>
            </w:pPr>
            <w:r>
              <w:t>Cooperate in implementing return to work plans</w:t>
            </w:r>
          </w:p>
        </w:tc>
        <w:tc>
          <w:tcPr>
            <w:tcW w:w="3840" w:type="dxa"/>
            <w:vMerge w:val="restart"/>
            <w:tcBorders>
              <w:top w:val="nil"/>
              <w:left w:val="single" w:sz="6" w:space="0" w:color="1F546B" w:themeColor="text2"/>
              <w:right w:val="nil"/>
            </w:tcBorders>
          </w:tcPr>
          <w:p w14:paraId="4C745B45" w14:textId="77777777" w:rsidR="00795E28" w:rsidRDefault="00795E28" w:rsidP="00795E28">
            <w:pPr>
              <w:pStyle w:val="Tablebullet"/>
            </w:pPr>
            <w:r w:rsidRPr="009161CB">
              <w:t>A safe and health</w:t>
            </w:r>
            <w:r>
              <w:t>y</w:t>
            </w:r>
            <w:r w:rsidRPr="009161CB">
              <w:t xml:space="preserve"> workplace for all people using our sites as a place of work.</w:t>
            </w:r>
          </w:p>
          <w:p w14:paraId="26DE321F" w14:textId="77777777" w:rsidR="0041178D" w:rsidRPr="003D175D" w:rsidRDefault="00795E28" w:rsidP="00795E28">
            <w:pPr>
              <w:pStyle w:val="Tablebullet"/>
            </w:pPr>
            <w:r w:rsidRPr="005F3820">
              <w:t>All requirements of DIA’s Health and Safety policy and procedures are met.</w:t>
            </w:r>
          </w:p>
        </w:tc>
      </w:tr>
      <w:tr w:rsidR="0041178D" w:rsidRPr="00995351" w14:paraId="489FB996" w14:textId="77777777" w:rsidTr="00581755">
        <w:trPr>
          <w:cantSplit/>
        </w:trPr>
        <w:tc>
          <w:tcPr>
            <w:tcW w:w="5675" w:type="dxa"/>
            <w:gridSpan w:val="2"/>
            <w:tcBorders>
              <w:top w:val="nil"/>
              <w:left w:val="nil"/>
              <w:bottom w:val="single" w:sz="6" w:space="0" w:color="1F546B" w:themeColor="text2"/>
              <w:right w:val="single" w:sz="6" w:space="0" w:color="1F546B" w:themeColor="text2"/>
            </w:tcBorders>
          </w:tcPr>
          <w:p w14:paraId="62FEE625" w14:textId="77777777" w:rsidR="0041178D" w:rsidRPr="00995351" w:rsidRDefault="0041178D" w:rsidP="00FE72F7">
            <w:pPr>
              <w:pStyle w:val="Tablenormal0"/>
              <w:rPr>
                <w:b/>
                <w:bCs/>
                <w:sz w:val="23"/>
                <w:szCs w:val="23"/>
              </w:rPr>
            </w:pPr>
            <w:r w:rsidRPr="00995351">
              <w:rPr>
                <w:b/>
                <w:bCs/>
                <w:sz w:val="23"/>
                <w:szCs w:val="23"/>
              </w:rPr>
              <w:lastRenderedPageBreak/>
              <w:t>Health and safety (for team)</w:t>
            </w:r>
          </w:p>
          <w:p w14:paraId="67D015D2" w14:textId="77777777" w:rsidR="0041178D" w:rsidRPr="00995351" w:rsidRDefault="0041178D" w:rsidP="00FE72F7">
            <w:pPr>
              <w:pStyle w:val="Tablebullet"/>
              <w:rPr>
                <w:sz w:val="23"/>
                <w:szCs w:val="23"/>
              </w:rPr>
            </w:pPr>
            <w:r w:rsidRPr="00995351">
              <w:rPr>
                <w:sz w:val="23"/>
                <w:szCs w:val="23"/>
              </w:rPr>
              <w:t>Inform, train and equip staff to carry out their work safely</w:t>
            </w:r>
          </w:p>
          <w:p w14:paraId="34E20736" w14:textId="77777777" w:rsidR="0041178D" w:rsidRPr="00995351" w:rsidRDefault="0041178D" w:rsidP="00FE72F7">
            <w:pPr>
              <w:pStyle w:val="Tablebullet"/>
              <w:rPr>
                <w:sz w:val="23"/>
                <w:szCs w:val="23"/>
              </w:rPr>
            </w:pPr>
            <w:r w:rsidRPr="00995351">
              <w:rPr>
                <w:sz w:val="23"/>
                <w:szCs w:val="23"/>
              </w:rPr>
              <w:t>Ensure prompt and accurate reporting and investigation of all workplace incidents and injuries</w:t>
            </w:r>
          </w:p>
          <w:p w14:paraId="5E3B6800" w14:textId="77777777" w:rsidR="0041178D" w:rsidRPr="00995351" w:rsidRDefault="0041178D" w:rsidP="00FE72F7">
            <w:pPr>
              <w:pStyle w:val="Tablebullet"/>
              <w:rPr>
                <w:b/>
                <w:bCs/>
                <w:sz w:val="23"/>
                <w:szCs w:val="23"/>
              </w:rPr>
            </w:pPr>
            <w:r w:rsidRPr="00995351">
              <w:rPr>
                <w:sz w:val="23"/>
                <w:szCs w:val="23"/>
              </w:rPr>
              <w:t>Assess all hazards promptly and ensure they are managed</w:t>
            </w:r>
          </w:p>
        </w:tc>
        <w:tc>
          <w:tcPr>
            <w:tcW w:w="3840" w:type="dxa"/>
            <w:vMerge/>
            <w:tcBorders>
              <w:left w:val="single" w:sz="6" w:space="0" w:color="1F546B" w:themeColor="text2"/>
              <w:bottom w:val="single" w:sz="6" w:space="0" w:color="1F546B" w:themeColor="text2"/>
              <w:right w:val="nil"/>
            </w:tcBorders>
          </w:tcPr>
          <w:p w14:paraId="2811A97C" w14:textId="77777777" w:rsidR="0041178D" w:rsidRPr="00995351" w:rsidRDefault="0041178D" w:rsidP="005F3820">
            <w:pPr>
              <w:pStyle w:val="Tablebullet"/>
              <w:rPr>
                <w:sz w:val="23"/>
                <w:szCs w:val="23"/>
              </w:rPr>
            </w:pPr>
          </w:p>
        </w:tc>
      </w:tr>
    </w:tbl>
    <w:p w14:paraId="329F8A88" w14:textId="77777777" w:rsidR="00285621" w:rsidRPr="00995351" w:rsidRDefault="00285621" w:rsidP="00285621">
      <w:pPr>
        <w:pStyle w:val="Tinyline"/>
        <w:rPr>
          <w:sz w:val="23"/>
          <w:szCs w:val="23"/>
        </w:rPr>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995351" w14:paraId="30B2A2CA" w14:textId="77777777" w:rsidTr="00010459">
        <w:trPr>
          <w:trHeight w:val="737"/>
          <w:tblHeader/>
        </w:trPr>
        <w:tc>
          <w:tcPr>
            <w:tcW w:w="5842" w:type="dxa"/>
            <w:gridSpan w:val="2"/>
            <w:tcBorders>
              <w:bottom w:val="single" w:sz="6" w:space="0" w:color="1F546B" w:themeColor="text2"/>
            </w:tcBorders>
          </w:tcPr>
          <w:p w14:paraId="2D92517C" w14:textId="77777777" w:rsidR="006B2693" w:rsidRPr="00995351" w:rsidRDefault="006B2693" w:rsidP="00267EDC">
            <w:pPr>
              <w:rPr>
                <w:sz w:val="23"/>
                <w:szCs w:val="23"/>
              </w:rPr>
            </w:pPr>
          </w:p>
        </w:tc>
        <w:tc>
          <w:tcPr>
            <w:tcW w:w="651" w:type="dxa"/>
            <w:vMerge w:val="restart"/>
            <w:tcBorders>
              <w:bottom w:val="single" w:sz="6" w:space="0" w:color="1F546B" w:themeColor="text2"/>
            </w:tcBorders>
            <w:textDirection w:val="btLr"/>
            <w:vAlign w:val="center"/>
          </w:tcPr>
          <w:p w14:paraId="614CBFDC" w14:textId="77777777" w:rsidR="006B2693" w:rsidRPr="00995351" w:rsidRDefault="006B2693" w:rsidP="00267EDC">
            <w:pPr>
              <w:pStyle w:val="Tableverticaltext"/>
              <w:rPr>
                <w:sz w:val="23"/>
                <w:szCs w:val="23"/>
              </w:rPr>
            </w:pPr>
            <w:r w:rsidRPr="00995351">
              <w:rPr>
                <w:sz w:val="23"/>
                <w:szCs w:val="23"/>
              </w:rPr>
              <w:t>Advise</w:t>
            </w:r>
          </w:p>
        </w:tc>
        <w:tc>
          <w:tcPr>
            <w:tcW w:w="652" w:type="dxa"/>
            <w:vMerge w:val="restart"/>
            <w:tcBorders>
              <w:bottom w:val="single" w:sz="6" w:space="0" w:color="1F546B" w:themeColor="text2"/>
            </w:tcBorders>
            <w:textDirection w:val="btLr"/>
            <w:vAlign w:val="center"/>
          </w:tcPr>
          <w:p w14:paraId="58695581" w14:textId="77777777" w:rsidR="006B2693" w:rsidRPr="00995351" w:rsidRDefault="006B2693" w:rsidP="00267EDC">
            <w:pPr>
              <w:pStyle w:val="Tableverticaltext"/>
              <w:rPr>
                <w:sz w:val="23"/>
                <w:szCs w:val="23"/>
              </w:rPr>
            </w:pPr>
            <w:r w:rsidRPr="00995351">
              <w:rPr>
                <w:sz w:val="23"/>
                <w:szCs w:val="23"/>
              </w:rPr>
              <w:t>Collaborate with</w:t>
            </w:r>
          </w:p>
        </w:tc>
        <w:tc>
          <w:tcPr>
            <w:tcW w:w="652" w:type="dxa"/>
            <w:vMerge w:val="restart"/>
            <w:tcBorders>
              <w:bottom w:val="single" w:sz="6" w:space="0" w:color="1F546B" w:themeColor="text2"/>
            </w:tcBorders>
            <w:textDirection w:val="btLr"/>
            <w:vAlign w:val="center"/>
          </w:tcPr>
          <w:p w14:paraId="5C0215FF" w14:textId="77777777" w:rsidR="006B2693" w:rsidRPr="00995351" w:rsidRDefault="006B2693" w:rsidP="00267EDC">
            <w:pPr>
              <w:pStyle w:val="Tableverticaltext"/>
              <w:rPr>
                <w:sz w:val="23"/>
                <w:szCs w:val="23"/>
              </w:rPr>
            </w:pPr>
            <w:r w:rsidRPr="00995351">
              <w:rPr>
                <w:sz w:val="23"/>
                <w:szCs w:val="23"/>
              </w:rPr>
              <w:t>Influence</w:t>
            </w:r>
          </w:p>
        </w:tc>
        <w:tc>
          <w:tcPr>
            <w:tcW w:w="651" w:type="dxa"/>
            <w:vMerge w:val="restart"/>
            <w:tcBorders>
              <w:bottom w:val="single" w:sz="6" w:space="0" w:color="1F546B" w:themeColor="text2"/>
            </w:tcBorders>
            <w:textDirection w:val="btLr"/>
            <w:vAlign w:val="center"/>
          </w:tcPr>
          <w:p w14:paraId="5712B333" w14:textId="77777777" w:rsidR="006B2693" w:rsidRPr="00995351" w:rsidRDefault="006B2693" w:rsidP="00267EDC">
            <w:pPr>
              <w:pStyle w:val="Tableverticaltext"/>
              <w:rPr>
                <w:sz w:val="23"/>
                <w:szCs w:val="23"/>
              </w:rPr>
            </w:pPr>
            <w:r w:rsidRPr="00995351">
              <w:rPr>
                <w:sz w:val="23"/>
                <w:szCs w:val="23"/>
              </w:rPr>
              <w:t>Inform</w:t>
            </w:r>
          </w:p>
        </w:tc>
        <w:tc>
          <w:tcPr>
            <w:tcW w:w="652" w:type="dxa"/>
            <w:vMerge w:val="restart"/>
            <w:tcBorders>
              <w:bottom w:val="single" w:sz="6" w:space="0" w:color="1F546B" w:themeColor="text2"/>
            </w:tcBorders>
            <w:textDirection w:val="btLr"/>
            <w:vAlign w:val="center"/>
          </w:tcPr>
          <w:p w14:paraId="03718406" w14:textId="77777777" w:rsidR="006B2693" w:rsidRPr="00995351" w:rsidRDefault="006B2693" w:rsidP="00267EDC">
            <w:pPr>
              <w:pStyle w:val="Tableverticaltext"/>
              <w:rPr>
                <w:sz w:val="23"/>
                <w:szCs w:val="23"/>
              </w:rPr>
            </w:pPr>
            <w:r w:rsidRPr="00995351">
              <w:rPr>
                <w:sz w:val="23"/>
                <w:szCs w:val="23"/>
              </w:rPr>
              <w:t>Manage/</w:t>
            </w:r>
          </w:p>
          <w:p w14:paraId="34E27B26" w14:textId="77777777" w:rsidR="006B2693" w:rsidRPr="00995351" w:rsidRDefault="006B2693" w:rsidP="00267EDC">
            <w:pPr>
              <w:pStyle w:val="Tableverticaltext"/>
              <w:rPr>
                <w:sz w:val="23"/>
                <w:szCs w:val="23"/>
              </w:rPr>
            </w:pPr>
            <w:r w:rsidRPr="00995351">
              <w:rPr>
                <w:sz w:val="23"/>
                <w:szCs w:val="23"/>
              </w:rPr>
              <w:t>lead</w:t>
            </w:r>
          </w:p>
        </w:tc>
        <w:tc>
          <w:tcPr>
            <w:tcW w:w="652" w:type="dxa"/>
            <w:vMerge w:val="restart"/>
            <w:tcBorders>
              <w:bottom w:val="single" w:sz="6" w:space="0" w:color="1F546B" w:themeColor="text2"/>
            </w:tcBorders>
            <w:textDirection w:val="btLr"/>
            <w:vAlign w:val="center"/>
          </w:tcPr>
          <w:p w14:paraId="6F9B37A5" w14:textId="77777777" w:rsidR="006B2693" w:rsidRPr="00995351" w:rsidRDefault="006B2693" w:rsidP="00267EDC">
            <w:pPr>
              <w:pStyle w:val="Tableverticaltext"/>
              <w:rPr>
                <w:sz w:val="23"/>
                <w:szCs w:val="23"/>
              </w:rPr>
            </w:pPr>
            <w:r w:rsidRPr="00995351">
              <w:rPr>
                <w:sz w:val="23"/>
                <w:szCs w:val="23"/>
              </w:rPr>
              <w:t>Deliver to</w:t>
            </w:r>
          </w:p>
        </w:tc>
      </w:tr>
      <w:tr w:rsidR="006B2693" w:rsidRPr="00995351" w14:paraId="116015E4" w14:textId="77777777" w:rsidTr="00010459">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501BDDF3" w14:textId="77777777" w:rsidR="006B2693" w:rsidRPr="00995351" w:rsidRDefault="006B2693" w:rsidP="00267EDC">
            <w:pPr>
              <w:pStyle w:val="Tableheading"/>
              <w:rPr>
                <w:sz w:val="24"/>
              </w:rPr>
            </w:pPr>
            <w:r w:rsidRPr="00995351">
              <w:rPr>
                <w:sz w:val="24"/>
              </w:rP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581E8074" w14:textId="77777777" w:rsidR="006B2693" w:rsidRPr="00995351" w:rsidRDefault="006B2693" w:rsidP="00267EDC"/>
        </w:tc>
        <w:tc>
          <w:tcPr>
            <w:tcW w:w="652" w:type="dxa"/>
            <w:vMerge/>
            <w:tcBorders>
              <w:bottom w:val="single" w:sz="6" w:space="0" w:color="1F546B" w:themeColor="text2"/>
            </w:tcBorders>
            <w:textDirection w:val="btLr"/>
          </w:tcPr>
          <w:p w14:paraId="2532BF6E" w14:textId="77777777" w:rsidR="006B2693" w:rsidRPr="00995351" w:rsidRDefault="006B2693" w:rsidP="00267EDC"/>
        </w:tc>
        <w:tc>
          <w:tcPr>
            <w:tcW w:w="652" w:type="dxa"/>
            <w:vMerge/>
            <w:tcBorders>
              <w:bottom w:val="single" w:sz="6" w:space="0" w:color="1F546B" w:themeColor="text2"/>
            </w:tcBorders>
            <w:textDirection w:val="btLr"/>
          </w:tcPr>
          <w:p w14:paraId="26E697E9" w14:textId="77777777" w:rsidR="006B2693" w:rsidRPr="00995351" w:rsidRDefault="006B2693" w:rsidP="00267EDC"/>
        </w:tc>
        <w:tc>
          <w:tcPr>
            <w:tcW w:w="651" w:type="dxa"/>
            <w:vMerge/>
            <w:tcBorders>
              <w:bottom w:val="single" w:sz="6" w:space="0" w:color="1F546B" w:themeColor="text2"/>
            </w:tcBorders>
            <w:textDirection w:val="btLr"/>
          </w:tcPr>
          <w:p w14:paraId="775E7AEA" w14:textId="77777777" w:rsidR="006B2693" w:rsidRPr="00995351" w:rsidRDefault="006B2693" w:rsidP="00267EDC"/>
        </w:tc>
        <w:tc>
          <w:tcPr>
            <w:tcW w:w="652" w:type="dxa"/>
            <w:vMerge/>
            <w:tcBorders>
              <w:bottom w:val="single" w:sz="6" w:space="0" w:color="1F546B" w:themeColor="text2"/>
            </w:tcBorders>
            <w:textDirection w:val="btLr"/>
          </w:tcPr>
          <w:p w14:paraId="7E9E68D4" w14:textId="77777777" w:rsidR="006B2693" w:rsidRPr="00995351" w:rsidRDefault="006B2693" w:rsidP="00267EDC"/>
        </w:tc>
        <w:tc>
          <w:tcPr>
            <w:tcW w:w="652" w:type="dxa"/>
            <w:vMerge/>
            <w:tcBorders>
              <w:bottom w:val="single" w:sz="6" w:space="0" w:color="1F546B" w:themeColor="text2"/>
            </w:tcBorders>
            <w:textDirection w:val="btLr"/>
          </w:tcPr>
          <w:p w14:paraId="1E2876BE" w14:textId="77777777" w:rsidR="006B2693" w:rsidRPr="00995351" w:rsidRDefault="006B2693" w:rsidP="00267EDC"/>
        </w:tc>
      </w:tr>
      <w:tr w:rsidR="004C3E9B" w:rsidRPr="00995351" w14:paraId="4C8C08B9" w14:textId="77777777" w:rsidTr="00883A9E">
        <w:trPr>
          <w:trHeight w:val="345"/>
        </w:trPr>
        <w:tc>
          <w:tcPr>
            <w:tcW w:w="1134" w:type="dxa"/>
            <w:vMerge w:val="restart"/>
            <w:tcBorders>
              <w:right w:val="single" w:sz="6" w:space="0" w:color="1F546B" w:themeColor="text2"/>
            </w:tcBorders>
            <w:vAlign w:val="center"/>
          </w:tcPr>
          <w:p w14:paraId="22959F9F" w14:textId="6A3DBF6A" w:rsidR="004C3E9B" w:rsidRPr="00995351" w:rsidRDefault="004C3E9B" w:rsidP="001D30D4">
            <w:pPr>
              <w:pStyle w:val="Tablenormalcondensed"/>
              <w:rPr>
                <w:sz w:val="23"/>
                <w:szCs w:val="23"/>
              </w:rPr>
            </w:pPr>
            <w:r w:rsidRPr="00995351">
              <w:rPr>
                <w:sz w:val="23"/>
                <w:szCs w:val="23"/>
              </w:rP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6119606A" w14:textId="38E5DD61" w:rsidR="004C3E9B" w:rsidRPr="00995351" w:rsidRDefault="004C3E9B" w:rsidP="003D175D">
            <w:pPr>
              <w:pStyle w:val="Tablenormalcondensed"/>
              <w:rPr>
                <w:sz w:val="23"/>
                <w:szCs w:val="23"/>
              </w:rPr>
            </w:pPr>
            <w:r w:rsidRPr="00995351">
              <w:rPr>
                <w:sz w:val="23"/>
                <w:szCs w:val="23"/>
              </w:rPr>
              <w:t>Government Chief Digital Officer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594B18E" w14:textId="7CA58882" w:rsidR="004C3E9B" w:rsidRPr="00995351" w:rsidRDefault="004C3E9B" w:rsidP="001D30D4">
            <w:pPr>
              <w:pStyle w:val="Tablenormalcondensed"/>
              <w:rPr>
                <w:sz w:val="23"/>
                <w:szCs w:val="23"/>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46C4F67" w14:textId="77777777" w:rsidR="004C3E9B" w:rsidRPr="00995351" w:rsidRDefault="004C3E9B" w:rsidP="001D30D4">
            <w:pPr>
              <w:pStyle w:val="Tablenormalcondensed"/>
              <w:rPr>
                <w:sz w:val="23"/>
                <w:szCs w:val="23"/>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2F12CF" w14:textId="77777777" w:rsidR="004C3E9B" w:rsidRPr="00995351" w:rsidRDefault="004C3E9B" w:rsidP="001D30D4">
            <w:pPr>
              <w:pStyle w:val="Tablenormalcondensed"/>
              <w:rPr>
                <w:sz w:val="23"/>
                <w:szCs w:val="23"/>
              </w:rPr>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AF17AB8" w14:textId="7572F0B0" w:rsidR="004C3E9B" w:rsidRPr="00995351" w:rsidRDefault="004C3E9B" w:rsidP="001D30D4">
            <w:pPr>
              <w:pStyle w:val="Tablenormalcondensed"/>
              <w:rPr>
                <w:sz w:val="23"/>
                <w:szCs w:val="23"/>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FDD7C8" w14:textId="55888DBE"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314C05EC" w14:textId="77777777" w:rsidR="004C3E9B" w:rsidRPr="00995351" w:rsidRDefault="004C3E9B" w:rsidP="001D30D4">
            <w:pPr>
              <w:pStyle w:val="Tablenormalcondensed"/>
              <w:rPr>
                <w:sz w:val="23"/>
                <w:szCs w:val="23"/>
              </w:rPr>
            </w:pPr>
          </w:p>
        </w:tc>
      </w:tr>
      <w:tr w:rsidR="004C3E9B" w:rsidRPr="00995351" w14:paraId="766C5290" w14:textId="77777777" w:rsidTr="00883A9E">
        <w:trPr>
          <w:trHeight w:val="345"/>
        </w:trPr>
        <w:tc>
          <w:tcPr>
            <w:tcW w:w="1134" w:type="dxa"/>
            <w:vMerge/>
            <w:tcBorders>
              <w:right w:val="single" w:sz="6" w:space="0" w:color="1F546B" w:themeColor="text2"/>
            </w:tcBorders>
            <w:vAlign w:val="center"/>
          </w:tcPr>
          <w:p w14:paraId="3EF6182D" w14:textId="097BB790" w:rsidR="004C3E9B" w:rsidRPr="00995351" w:rsidRDefault="004C3E9B" w:rsidP="001D30D4">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0A4181" w14:textId="531FEAC0" w:rsidR="004C3E9B" w:rsidRPr="00995351" w:rsidRDefault="004C3E9B" w:rsidP="003D175D">
            <w:pPr>
              <w:pStyle w:val="Tablenormalcondensed"/>
              <w:rPr>
                <w:sz w:val="23"/>
                <w:szCs w:val="23"/>
              </w:rPr>
            </w:pPr>
            <w:r w:rsidRPr="00995351">
              <w:rPr>
                <w:sz w:val="23"/>
                <w:szCs w:val="23"/>
              </w:rPr>
              <w:t>Deputy Chief Executive</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E7FAC75" w14:textId="72463356"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07DFFE" w14:textId="19AFED86"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028FBCC" w14:textId="0A2C51F2"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F50A9DB" w14:textId="61507360"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4913436" w14:textId="2C8EEE62" w:rsidR="004C3E9B" w:rsidRPr="00995351" w:rsidRDefault="004C3E9B" w:rsidP="001D30D4">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18CECFB" w14:textId="0D4BB5ED" w:rsidR="004C3E9B" w:rsidRPr="00995351" w:rsidRDefault="004C3E9B" w:rsidP="001D30D4">
            <w:pPr>
              <w:pStyle w:val="Tablenormalcondensed"/>
              <w:rPr>
                <w:sz w:val="23"/>
                <w:szCs w:val="23"/>
                <w:highlight w:val="yellow"/>
              </w:rPr>
            </w:pPr>
            <w:r w:rsidRPr="00995351">
              <w:rPr>
                <w:sz w:val="23"/>
                <w:szCs w:val="23"/>
              </w:rPr>
              <w:sym w:font="Wingdings" w:char="F0FC"/>
            </w:r>
          </w:p>
        </w:tc>
      </w:tr>
      <w:tr w:rsidR="004C3E9B" w:rsidRPr="00995351" w14:paraId="1FC0722B" w14:textId="77777777" w:rsidTr="00883A9E">
        <w:trPr>
          <w:trHeight w:val="345"/>
        </w:trPr>
        <w:tc>
          <w:tcPr>
            <w:tcW w:w="1134" w:type="dxa"/>
            <w:vMerge/>
            <w:tcBorders>
              <w:right w:val="single" w:sz="6" w:space="0" w:color="1F546B" w:themeColor="text2"/>
            </w:tcBorders>
            <w:vAlign w:val="center"/>
          </w:tcPr>
          <w:p w14:paraId="1CB7A494" w14:textId="77777777" w:rsidR="004C3E9B" w:rsidRPr="00995351" w:rsidRDefault="004C3E9B" w:rsidP="001D30D4">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C318F9E" w14:textId="6ABEC218" w:rsidR="004C3E9B" w:rsidRPr="00995351" w:rsidRDefault="004C3E9B" w:rsidP="003D175D">
            <w:pPr>
              <w:pStyle w:val="Tablenormalcondensed"/>
              <w:rPr>
                <w:sz w:val="23"/>
                <w:szCs w:val="23"/>
              </w:rPr>
            </w:pPr>
            <w:r w:rsidRPr="00995351">
              <w:rPr>
                <w:sz w:val="23"/>
                <w:szCs w:val="23"/>
              </w:rPr>
              <w:t>Branch Planning, Performance &amp; Support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45F6FAD" w14:textId="0D37FA1C"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4BFA10" w14:textId="3E6244B9"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9C53D30" w14:textId="3782C223"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EC91A33" w14:textId="2E5E9ADF" w:rsidR="004C3E9B" w:rsidRPr="00995351" w:rsidRDefault="004C3E9B" w:rsidP="001D30D4">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3FF0679" w14:textId="5AF34506" w:rsidR="004C3E9B" w:rsidRPr="00995351" w:rsidRDefault="004C3E9B" w:rsidP="001D30D4">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9A811D1" w14:textId="1EDEFE2A" w:rsidR="004C3E9B" w:rsidRPr="00995351" w:rsidRDefault="004C3E9B" w:rsidP="001D30D4">
            <w:pPr>
              <w:pStyle w:val="Tablenormalcondensed"/>
              <w:rPr>
                <w:sz w:val="23"/>
                <w:szCs w:val="23"/>
                <w:highlight w:val="yellow"/>
              </w:rPr>
            </w:pPr>
          </w:p>
        </w:tc>
      </w:tr>
      <w:tr w:rsidR="004C3E9B" w:rsidRPr="00995351" w14:paraId="51085410" w14:textId="77777777" w:rsidTr="00883A9E">
        <w:trPr>
          <w:trHeight w:val="345"/>
        </w:trPr>
        <w:tc>
          <w:tcPr>
            <w:tcW w:w="1134" w:type="dxa"/>
            <w:vMerge/>
            <w:tcBorders>
              <w:right w:val="single" w:sz="6" w:space="0" w:color="1F546B" w:themeColor="text2"/>
            </w:tcBorders>
            <w:vAlign w:val="center"/>
          </w:tcPr>
          <w:p w14:paraId="34E89D09" w14:textId="77777777" w:rsidR="004C3E9B" w:rsidRPr="00995351" w:rsidRDefault="004C3E9B" w:rsidP="008A2DD0">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5ADD2BB3" w14:textId="04AE2FA6" w:rsidR="004C3E9B" w:rsidRPr="00995351" w:rsidRDefault="004C3E9B" w:rsidP="008A2DD0">
            <w:pPr>
              <w:pStyle w:val="Tablenormalcondensed"/>
              <w:rPr>
                <w:sz w:val="23"/>
                <w:szCs w:val="23"/>
              </w:rPr>
            </w:pPr>
            <w:r w:rsidRPr="00995351">
              <w:rPr>
                <w:sz w:val="23"/>
                <w:szCs w:val="23"/>
              </w:rPr>
              <w:t>GM colleagues and branch Senior Leadership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1E24C2A" w14:textId="7EC25E3A"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190D4CE" w14:textId="01A5CEE3"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40ABE3" w14:textId="50FE78A9"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80F277D" w14:textId="4D67CCF4"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86AC259" w14:textId="77777777" w:rsidR="004C3E9B" w:rsidRPr="00995351" w:rsidRDefault="004C3E9B"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2AEA54E" w14:textId="41ABCC86" w:rsidR="004C3E9B" w:rsidRPr="00995351" w:rsidRDefault="004C3E9B" w:rsidP="008A2DD0">
            <w:pPr>
              <w:pStyle w:val="Tablenormalcondensed"/>
              <w:rPr>
                <w:sz w:val="23"/>
                <w:szCs w:val="23"/>
                <w:highlight w:val="yellow"/>
              </w:rPr>
            </w:pPr>
            <w:r w:rsidRPr="00995351">
              <w:rPr>
                <w:sz w:val="23"/>
                <w:szCs w:val="23"/>
              </w:rPr>
              <w:sym w:font="Wingdings" w:char="F0FC"/>
            </w:r>
          </w:p>
        </w:tc>
      </w:tr>
      <w:tr w:rsidR="004C3E9B" w:rsidRPr="00995351" w14:paraId="18A9EC54" w14:textId="77777777" w:rsidTr="00883A9E">
        <w:trPr>
          <w:trHeight w:val="345"/>
        </w:trPr>
        <w:tc>
          <w:tcPr>
            <w:tcW w:w="1134" w:type="dxa"/>
            <w:vMerge/>
            <w:tcBorders>
              <w:right w:val="single" w:sz="6" w:space="0" w:color="1F546B" w:themeColor="text2"/>
            </w:tcBorders>
            <w:vAlign w:val="center"/>
          </w:tcPr>
          <w:p w14:paraId="145639C0" w14:textId="77777777" w:rsidR="004C3E9B" w:rsidRPr="00995351" w:rsidRDefault="004C3E9B" w:rsidP="008A2DD0">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4AF24288" w14:textId="6304CDB9" w:rsidR="004C3E9B" w:rsidRPr="00995351" w:rsidRDefault="004C3E9B" w:rsidP="008A2DD0">
            <w:pPr>
              <w:pStyle w:val="Tablenormalcondensed"/>
              <w:rPr>
                <w:sz w:val="23"/>
                <w:szCs w:val="23"/>
              </w:rPr>
            </w:pPr>
            <w:r w:rsidRPr="00995351">
              <w:rPr>
                <w:sz w:val="23"/>
                <w:szCs w:val="23"/>
              </w:rPr>
              <w:t>DIA Executive Leadership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AEF35B2" w14:textId="222E7E9D"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5EBC2C8" w14:textId="77777777" w:rsidR="004C3E9B" w:rsidRPr="00995351" w:rsidRDefault="004C3E9B"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09C59AF" w14:textId="6CBC1BEF"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9295F0D" w14:textId="078883EF"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302C58" w14:textId="77777777" w:rsidR="004C3E9B" w:rsidRPr="00995351" w:rsidRDefault="004C3E9B"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4A2215C4" w14:textId="1B3A0EB7" w:rsidR="004C3E9B" w:rsidRPr="00995351" w:rsidRDefault="004C3E9B" w:rsidP="008A2DD0">
            <w:pPr>
              <w:pStyle w:val="Tablenormalcondensed"/>
              <w:rPr>
                <w:sz w:val="23"/>
                <w:szCs w:val="23"/>
                <w:highlight w:val="yellow"/>
              </w:rPr>
            </w:pPr>
            <w:r w:rsidRPr="00995351">
              <w:rPr>
                <w:sz w:val="23"/>
                <w:szCs w:val="23"/>
              </w:rPr>
              <w:sym w:font="Wingdings" w:char="F0FC"/>
            </w:r>
          </w:p>
        </w:tc>
      </w:tr>
      <w:tr w:rsidR="004C3E9B" w:rsidRPr="00995351" w14:paraId="31BA39DE" w14:textId="77777777" w:rsidTr="00883A9E">
        <w:trPr>
          <w:trHeight w:val="345"/>
        </w:trPr>
        <w:tc>
          <w:tcPr>
            <w:tcW w:w="1134" w:type="dxa"/>
            <w:vMerge/>
            <w:tcBorders>
              <w:right w:val="single" w:sz="6" w:space="0" w:color="1F546B" w:themeColor="text2"/>
            </w:tcBorders>
            <w:vAlign w:val="center"/>
          </w:tcPr>
          <w:p w14:paraId="3D5F0C61" w14:textId="77777777" w:rsidR="004C3E9B" w:rsidRPr="00995351" w:rsidRDefault="004C3E9B" w:rsidP="008A2DD0">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026ABBA2" w14:textId="3515B836" w:rsidR="004C3E9B" w:rsidRPr="00995351" w:rsidRDefault="004C3E9B" w:rsidP="008A2DD0">
            <w:pPr>
              <w:pStyle w:val="Tablenormalcondensed"/>
              <w:rPr>
                <w:sz w:val="23"/>
                <w:szCs w:val="23"/>
              </w:rPr>
            </w:pPr>
            <w:r w:rsidRPr="00995351">
              <w:rPr>
                <w:sz w:val="23"/>
                <w:szCs w:val="23"/>
              </w:rPr>
              <w:t>Organisational Strategy and Performance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53ACF9E3" w14:textId="76D2063F"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DFB509C" w14:textId="77777777" w:rsidR="004C3E9B" w:rsidRPr="00995351" w:rsidRDefault="004C3E9B" w:rsidP="008A2DD0">
            <w:pPr>
              <w:pStyle w:val="Tablenormalcondensed"/>
              <w:rPr>
                <w:sz w:val="23"/>
                <w:szCs w:val="23"/>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D5044AB" w14:textId="17106C9C" w:rsidR="004C3E9B" w:rsidRPr="00995351" w:rsidRDefault="004C3E9B" w:rsidP="008A2DD0">
            <w:pPr>
              <w:pStyle w:val="Tablenormalcondensed"/>
              <w:rPr>
                <w:sz w:val="23"/>
                <w:szCs w:val="23"/>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B671F5A" w14:textId="7246895B" w:rsidR="004C3E9B" w:rsidRPr="00995351" w:rsidRDefault="004C3E9B" w:rsidP="008A2DD0">
            <w:pPr>
              <w:pStyle w:val="Tablenormalcondensed"/>
              <w:rPr>
                <w:sz w:val="23"/>
                <w:szCs w:val="23"/>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E2A8142" w14:textId="77777777" w:rsidR="004C3E9B" w:rsidRPr="00995351" w:rsidRDefault="004C3E9B"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FAD9858" w14:textId="6C235C95" w:rsidR="004C3E9B" w:rsidRPr="00995351" w:rsidRDefault="004C3E9B" w:rsidP="008A2DD0">
            <w:pPr>
              <w:pStyle w:val="Tablenormalcondensed"/>
              <w:rPr>
                <w:sz w:val="23"/>
                <w:szCs w:val="23"/>
              </w:rPr>
            </w:pPr>
            <w:r w:rsidRPr="00995351">
              <w:rPr>
                <w:sz w:val="23"/>
                <w:szCs w:val="23"/>
              </w:rPr>
              <w:sym w:font="Wingdings" w:char="F0FC"/>
            </w:r>
          </w:p>
        </w:tc>
      </w:tr>
      <w:tr w:rsidR="004C3E9B" w:rsidRPr="00995351" w14:paraId="080581D0" w14:textId="77777777" w:rsidTr="00883A9E">
        <w:trPr>
          <w:trHeight w:val="345"/>
        </w:trPr>
        <w:tc>
          <w:tcPr>
            <w:tcW w:w="1134" w:type="dxa"/>
            <w:vMerge/>
            <w:tcBorders>
              <w:right w:val="single" w:sz="6" w:space="0" w:color="1F546B" w:themeColor="text2"/>
            </w:tcBorders>
            <w:vAlign w:val="center"/>
          </w:tcPr>
          <w:p w14:paraId="49DC0A1D" w14:textId="77777777" w:rsidR="004C3E9B" w:rsidRPr="00995351" w:rsidRDefault="004C3E9B" w:rsidP="008A2DD0">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97CCBD6" w14:textId="55400D5F" w:rsidR="004C3E9B" w:rsidRPr="00995351" w:rsidRDefault="004C3E9B" w:rsidP="008A2DD0">
            <w:pPr>
              <w:pStyle w:val="Tablenormalcondensed"/>
              <w:rPr>
                <w:sz w:val="23"/>
                <w:szCs w:val="23"/>
              </w:rPr>
            </w:pPr>
            <w:r w:rsidRPr="00995351">
              <w:rPr>
                <w:sz w:val="23"/>
                <w:szCs w:val="23"/>
              </w:rPr>
              <w:t>DIA corporate services (e.g. Finance, HR)</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3A4874A" w14:textId="77777777" w:rsidR="004C3E9B" w:rsidRPr="00995351" w:rsidRDefault="004C3E9B"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9E704B7" w14:textId="1D534060"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EACAA5B" w14:textId="686D19D0"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1106901" w14:textId="566DDF02"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D99469F" w14:textId="77777777" w:rsidR="004C3E9B" w:rsidRPr="00995351" w:rsidRDefault="004C3E9B"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C3713F6" w14:textId="1DD957B4" w:rsidR="004C3E9B" w:rsidRPr="00995351" w:rsidRDefault="004C3E9B" w:rsidP="008A2DD0">
            <w:pPr>
              <w:pStyle w:val="Tablenormalcondensed"/>
              <w:rPr>
                <w:sz w:val="23"/>
                <w:szCs w:val="23"/>
                <w:highlight w:val="yellow"/>
              </w:rPr>
            </w:pPr>
            <w:r w:rsidRPr="00995351">
              <w:rPr>
                <w:sz w:val="23"/>
                <w:szCs w:val="23"/>
              </w:rPr>
              <w:sym w:font="Wingdings" w:char="F0FC"/>
            </w:r>
          </w:p>
        </w:tc>
      </w:tr>
      <w:tr w:rsidR="004C3E9B" w:rsidRPr="00995351" w14:paraId="1A3A88CF" w14:textId="77777777" w:rsidTr="00883A9E">
        <w:trPr>
          <w:trHeight w:val="233"/>
        </w:trPr>
        <w:tc>
          <w:tcPr>
            <w:tcW w:w="1134" w:type="dxa"/>
            <w:vMerge/>
            <w:tcBorders>
              <w:bottom w:val="single" w:sz="6" w:space="0" w:color="1F546B" w:themeColor="text2"/>
              <w:right w:val="single" w:sz="6" w:space="0" w:color="1F546B" w:themeColor="text2"/>
            </w:tcBorders>
            <w:vAlign w:val="center"/>
          </w:tcPr>
          <w:p w14:paraId="36A666F7" w14:textId="77777777" w:rsidR="004C3E9B" w:rsidRPr="00995351" w:rsidRDefault="004C3E9B" w:rsidP="008A2DD0">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8C8F397" w14:textId="153BA9B1" w:rsidR="004C3E9B" w:rsidRPr="00995351" w:rsidRDefault="004C3E9B" w:rsidP="008A2DD0">
            <w:pPr>
              <w:pStyle w:val="Tablenormalcondensed"/>
              <w:rPr>
                <w:sz w:val="23"/>
                <w:szCs w:val="23"/>
              </w:rPr>
            </w:pPr>
            <w:r w:rsidRPr="00995351">
              <w:rPr>
                <w:sz w:val="23"/>
                <w:szCs w:val="23"/>
              </w:rPr>
              <w:t>DIA Branch Development &amp; Support network</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035A3E0" w14:textId="77777777" w:rsidR="004C3E9B" w:rsidRPr="00995351" w:rsidRDefault="004C3E9B"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4DC8ECE" w14:textId="501128D1"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C5F6B25" w14:textId="3D57B2A4"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39E635F" w14:textId="3C843168" w:rsidR="004C3E9B" w:rsidRPr="00995351" w:rsidRDefault="004C3E9B"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E573A4F" w14:textId="77777777" w:rsidR="004C3E9B" w:rsidRPr="00995351" w:rsidRDefault="004C3E9B"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1364B9D9" w14:textId="77777777" w:rsidR="004C3E9B" w:rsidRPr="00995351" w:rsidRDefault="004C3E9B" w:rsidP="008A2DD0">
            <w:pPr>
              <w:pStyle w:val="Tablenormalcondensed"/>
              <w:rPr>
                <w:sz w:val="23"/>
                <w:szCs w:val="23"/>
                <w:highlight w:val="yellow"/>
              </w:rPr>
            </w:pPr>
          </w:p>
        </w:tc>
      </w:tr>
      <w:tr w:rsidR="00DF316E" w:rsidRPr="00995351" w14:paraId="58D760A5" w14:textId="77777777" w:rsidTr="00DB3416">
        <w:trPr>
          <w:trHeight w:val="233"/>
        </w:trPr>
        <w:tc>
          <w:tcPr>
            <w:tcW w:w="1134" w:type="dxa"/>
            <w:vMerge w:val="restart"/>
            <w:tcBorders>
              <w:right w:val="single" w:sz="6" w:space="0" w:color="1F546B" w:themeColor="text2"/>
            </w:tcBorders>
            <w:vAlign w:val="center"/>
          </w:tcPr>
          <w:p w14:paraId="7D60948E" w14:textId="26DE7D78" w:rsidR="00DF316E" w:rsidRPr="00995351" w:rsidRDefault="00DF316E" w:rsidP="008A2DD0">
            <w:pPr>
              <w:pStyle w:val="Tablenormalcondensed"/>
              <w:rPr>
                <w:sz w:val="23"/>
                <w:szCs w:val="23"/>
              </w:rPr>
            </w:pPr>
            <w:r w:rsidRPr="00995351">
              <w:rPr>
                <w:sz w:val="23"/>
                <w:szCs w:val="23"/>
              </w:rP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7D300D49" w14:textId="7AF1B564" w:rsidR="00DF316E" w:rsidRPr="00995351" w:rsidRDefault="00DF316E" w:rsidP="008A2DD0">
            <w:pPr>
              <w:pStyle w:val="Tablenormalcondensed"/>
              <w:rPr>
                <w:sz w:val="23"/>
                <w:szCs w:val="23"/>
              </w:rPr>
            </w:pPr>
            <w:r w:rsidRPr="00995351">
              <w:rPr>
                <w:sz w:val="23"/>
                <w:szCs w:val="23"/>
              </w:rPr>
              <w:t xml:space="preserve">Other government agencies </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77A938B" w14:textId="4F92BBB9"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47B163B" w14:textId="4B38803F"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110D45D" w14:textId="519CDB22"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DAFC23C" w14:textId="098F96EC"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ABB5875" w14:textId="5DA618A7" w:rsidR="00DF316E" w:rsidRPr="00995351" w:rsidRDefault="00DF316E"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503D4044" w14:textId="5D6A9A16" w:rsidR="00DF316E" w:rsidRPr="00995351" w:rsidRDefault="00DF316E" w:rsidP="008A2DD0">
            <w:pPr>
              <w:pStyle w:val="Tablenormalcondensed"/>
              <w:rPr>
                <w:sz w:val="23"/>
                <w:szCs w:val="23"/>
                <w:highlight w:val="yellow"/>
              </w:rPr>
            </w:pPr>
          </w:p>
        </w:tc>
      </w:tr>
      <w:tr w:rsidR="00DF316E" w:rsidRPr="00995351" w14:paraId="01BBDD43" w14:textId="77777777" w:rsidTr="00DB3416">
        <w:trPr>
          <w:trHeight w:val="233"/>
        </w:trPr>
        <w:tc>
          <w:tcPr>
            <w:tcW w:w="1134" w:type="dxa"/>
            <w:vMerge/>
            <w:tcBorders>
              <w:right w:val="single" w:sz="6" w:space="0" w:color="1F546B" w:themeColor="text2"/>
            </w:tcBorders>
            <w:vAlign w:val="center"/>
          </w:tcPr>
          <w:p w14:paraId="009D097B" w14:textId="77777777" w:rsidR="00DF316E" w:rsidRPr="00995351" w:rsidRDefault="00DF316E" w:rsidP="008A2DD0">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381721A" w14:textId="4FF432AE" w:rsidR="00DF316E" w:rsidRPr="00995351" w:rsidRDefault="00DF316E" w:rsidP="008A2DD0">
            <w:pPr>
              <w:pStyle w:val="Tablenormalcondensed"/>
              <w:rPr>
                <w:sz w:val="23"/>
                <w:szCs w:val="23"/>
              </w:rPr>
            </w:pPr>
            <w:r w:rsidRPr="00995351">
              <w:rPr>
                <w:sz w:val="23"/>
                <w:szCs w:val="23"/>
              </w:rPr>
              <w:t>International government representatives, digital organisations and partners (e.g. D9, OECD) and specialist capability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8030EB0" w14:textId="5E3C563C"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857409A" w14:textId="4BC522D3"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6564130" w14:textId="64D5C920"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60FC832" w14:textId="7891AD9C"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6800673" w14:textId="77777777" w:rsidR="00DF316E" w:rsidRPr="00995351" w:rsidRDefault="00DF316E"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8842CE9" w14:textId="77777777" w:rsidR="00DF316E" w:rsidRPr="00995351" w:rsidRDefault="00DF316E" w:rsidP="008A2DD0">
            <w:pPr>
              <w:pStyle w:val="Tablenormalcondensed"/>
              <w:rPr>
                <w:sz w:val="23"/>
                <w:szCs w:val="23"/>
                <w:highlight w:val="yellow"/>
              </w:rPr>
            </w:pPr>
          </w:p>
        </w:tc>
      </w:tr>
      <w:tr w:rsidR="00DF316E" w:rsidRPr="00995351" w14:paraId="103BB5E2" w14:textId="77777777" w:rsidTr="00AC6B67">
        <w:trPr>
          <w:trHeight w:val="233"/>
        </w:trPr>
        <w:tc>
          <w:tcPr>
            <w:tcW w:w="1134" w:type="dxa"/>
            <w:vMerge/>
            <w:tcBorders>
              <w:right w:val="single" w:sz="6" w:space="0" w:color="1F546B" w:themeColor="text2"/>
            </w:tcBorders>
            <w:vAlign w:val="center"/>
          </w:tcPr>
          <w:p w14:paraId="41F39D67" w14:textId="77777777" w:rsidR="00DF316E" w:rsidRPr="00995351" w:rsidRDefault="00DF316E" w:rsidP="008A2DD0">
            <w:pPr>
              <w:pStyle w:val="Tablenormalcondensed"/>
              <w:rPr>
                <w:sz w:val="23"/>
                <w:szCs w:val="23"/>
              </w:rPr>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39EA4EA9" w14:textId="141732CA" w:rsidR="00DF316E" w:rsidRPr="00995351" w:rsidRDefault="00DF316E" w:rsidP="008A2DD0">
            <w:pPr>
              <w:pStyle w:val="Tablenormalcondensed"/>
              <w:rPr>
                <w:sz w:val="23"/>
                <w:szCs w:val="23"/>
              </w:rPr>
            </w:pPr>
            <w:r w:rsidRPr="00995351">
              <w:rPr>
                <w:sz w:val="23"/>
                <w:szCs w:val="23"/>
              </w:rPr>
              <w:t>Ministers and their offices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CD885DB" w14:textId="77FDA215"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99401F1" w14:textId="77777777" w:rsidR="00DF316E" w:rsidRPr="00995351" w:rsidRDefault="00DF316E"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E1B5D3B" w14:textId="584009F2"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0AD482BE" w14:textId="2BCA6EBE" w:rsidR="00DF316E" w:rsidRPr="00995351" w:rsidRDefault="00DF316E" w:rsidP="008A2DD0">
            <w:pPr>
              <w:pStyle w:val="Tablenormalcondensed"/>
              <w:rPr>
                <w:sz w:val="23"/>
                <w:szCs w:val="23"/>
                <w:highlight w:val="yellow"/>
              </w:rPr>
            </w:pPr>
            <w:r w:rsidRPr="00995351">
              <w:rPr>
                <w:sz w:val="23"/>
                <w:szCs w:val="23"/>
              </w:rPr>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15A8727E" w14:textId="77777777" w:rsidR="00DF316E" w:rsidRPr="00995351" w:rsidRDefault="00DF316E" w:rsidP="008A2DD0">
            <w:pPr>
              <w:pStyle w:val="Tablenormalcondensed"/>
              <w:rPr>
                <w:sz w:val="23"/>
                <w:szCs w:val="23"/>
                <w:highlight w:val="yellow"/>
              </w:rPr>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7A3CF97A" w14:textId="10074319" w:rsidR="00DF316E" w:rsidRPr="00995351" w:rsidRDefault="00DF316E" w:rsidP="008A2DD0">
            <w:pPr>
              <w:pStyle w:val="Tablenormalcondensed"/>
              <w:rPr>
                <w:sz w:val="23"/>
                <w:szCs w:val="23"/>
                <w:highlight w:val="yellow"/>
              </w:rPr>
            </w:pPr>
            <w:r w:rsidRPr="00995351">
              <w:rPr>
                <w:sz w:val="23"/>
                <w:szCs w:val="23"/>
              </w:rPr>
              <w:sym w:font="Wingdings" w:char="F0FC"/>
            </w:r>
          </w:p>
        </w:tc>
      </w:tr>
    </w:tbl>
    <w:p w14:paraId="59A38204" w14:textId="77777777" w:rsidR="008023C3" w:rsidRPr="00995351" w:rsidRDefault="008023C3" w:rsidP="00FE72F7">
      <w:pPr>
        <w:spacing w:after="0"/>
        <w:rPr>
          <w:sz w:val="23"/>
          <w:szCs w:val="23"/>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53"/>
        <w:gridCol w:w="4762"/>
      </w:tblGrid>
      <w:tr w:rsidR="005B193F" w:rsidRPr="00995351" w14:paraId="061FB423" w14:textId="77777777" w:rsidTr="00C80408">
        <w:trPr>
          <w:tblHeader/>
        </w:trPr>
        <w:tc>
          <w:tcPr>
            <w:tcW w:w="9515"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70BFB8C1" w14:textId="77777777" w:rsidR="005B193F" w:rsidRPr="00995351" w:rsidRDefault="005B193F" w:rsidP="00F07425">
            <w:pPr>
              <w:pStyle w:val="Tableheading"/>
              <w:rPr>
                <w:sz w:val="24"/>
              </w:rPr>
            </w:pPr>
            <w:r w:rsidRPr="00995351">
              <w:rPr>
                <w:sz w:val="24"/>
              </w:rPr>
              <w:t>Your delegations as a manager</w:t>
            </w:r>
          </w:p>
        </w:tc>
      </w:tr>
      <w:tr w:rsidR="005B193F" w:rsidRPr="00995351" w14:paraId="06D11747" w14:textId="77777777" w:rsidTr="00C80408">
        <w:tc>
          <w:tcPr>
            <w:tcW w:w="4753" w:type="dxa"/>
            <w:tcBorders>
              <w:top w:val="nil"/>
              <w:left w:val="nil"/>
              <w:bottom w:val="single" w:sz="6" w:space="0" w:color="1F546B" w:themeColor="text2"/>
              <w:right w:val="single" w:sz="6" w:space="0" w:color="1F546B" w:themeColor="text2"/>
            </w:tcBorders>
          </w:tcPr>
          <w:p w14:paraId="094E451C" w14:textId="77777777" w:rsidR="005B193F" w:rsidRPr="00995351" w:rsidRDefault="005B193F" w:rsidP="00F07425">
            <w:pPr>
              <w:pStyle w:val="Tablenormal0"/>
              <w:rPr>
                <w:sz w:val="23"/>
                <w:szCs w:val="23"/>
              </w:rPr>
            </w:pPr>
            <w:r w:rsidRPr="00995351">
              <w:rPr>
                <w:sz w:val="23"/>
                <w:szCs w:val="23"/>
              </w:rPr>
              <w:t xml:space="preserve">Human Resources </w:t>
            </w:r>
            <w:r w:rsidR="004B1529" w:rsidRPr="00995351">
              <w:rPr>
                <w:sz w:val="23"/>
                <w:szCs w:val="23"/>
              </w:rPr>
              <w:t xml:space="preserve">and financial </w:t>
            </w:r>
            <w:r w:rsidRPr="00995351">
              <w:rPr>
                <w:sz w:val="23"/>
                <w:szCs w:val="23"/>
              </w:rPr>
              <w:t>delegations</w:t>
            </w:r>
          </w:p>
        </w:tc>
        <w:tc>
          <w:tcPr>
            <w:tcW w:w="4762" w:type="dxa"/>
            <w:tcBorders>
              <w:top w:val="nil"/>
              <w:left w:val="single" w:sz="6" w:space="0" w:color="1F546B" w:themeColor="text2"/>
              <w:bottom w:val="single" w:sz="6" w:space="0" w:color="1F546B" w:themeColor="text2"/>
              <w:right w:val="nil"/>
            </w:tcBorders>
          </w:tcPr>
          <w:p w14:paraId="1ABE04F6" w14:textId="24318234" w:rsidR="005B193F" w:rsidRPr="00995351" w:rsidRDefault="00C80408" w:rsidP="00F07425">
            <w:pPr>
              <w:pStyle w:val="Tablenormal0"/>
              <w:rPr>
                <w:sz w:val="23"/>
                <w:szCs w:val="23"/>
              </w:rPr>
            </w:pPr>
            <w:r w:rsidRPr="00995351">
              <w:rPr>
                <w:sz w:val="23"/>
                <w:szCs w:val="23"/>
              </w:rPr>
              <w:t>Level C</w:t>
            </w:r>
          </w:p>
        </w:tc>
      </w:tr>
      <w:tr w:rsidR="005B193F" w:rsidRPr="00995351" w14:paraId="0D6825B4" w14:textId="77777777" w:rsidTr="00C80408">
        <w:tc>
          <w:tcPr>
            <w:tcW w:w="4753" w:type="dxa"/>
            <w:tcBorders>
              <w:top w:val="single" w:sz="6" w:space="0" w:color="1F546B" w:themeColor="text2"/>
              <w:left w:val="nil"/>
              <w:bottom w:val="single" w:sz="6" w:space="0" w:color="1F546B" w:themeColor="text2"/>
              <w:right w:val="single" w:sz="6" w:space="0" w:color="1F546B" w:themeColor="text2"/>
            </w:tcBorders>
          </w:tcPr>
          <w:p w14:paraId="1E76C454" w14:textId="77777777" w:rsidR="005B193F" w:rsidRPr="00995351" w:rsidRDefault="005B193F" w:rsidP="00F07425">
            <w:pPr>
              <w:pStyle w:val="Tablenormal0"/>
              <w:rPr>
                <w:sz w:val="23"/>
                <w:szCs w:val="23"/>
              </w:rPr>
            </w:pPr>
            <w:r w:rsidRPr="00995351">
              <w:rPr>
                <w:sz w:val="23"/>
                <w:szCs w:val="23"/>
              </w:rPr>
              <w:t>Direct reports</w:t>
            </w:r>
          </w:p>
        </w:tc>
        <w:tc>
          <w:tcPr>
            <w:tcW w:w="4762" w:type="dxa"/>
            <w:tcBorders>
              <w:top w:val="single" w:sz="6" w:space="0" w:color="1F546B" w:themeColor="text2"/>
              <w:left w:val="single" w:sz="6" w:space="0" w:color="1F546B" w:themeColor="text2"/>
              <w:bottom w:val="single" w:sz="6" w:space="0" w:color="1F546B" w:themeColor="text2"/>
              <w:right w:val="nil"/>
            </w:tcBorders>
          </w:tcPr>
          <w:p w14:paraId="4D569392" w14:textId="38B51350" w:rsidR="005B193F" w:rsidRPr="00995351" w:rsidRDefault="00C80408" w:rsidP="00F07425">
            <w:pPr>
              <w:pStyle w:val="Tablenormal0"/>
              <w:rPr>
                <w:sz w:val="23"/>
                <w:szCs w:val="23"/>
              </w:rPr>
            </w:pPr>
            <w:r w:rsidRPr="00995351">
              <w:rPr>
                <w:sz w:val="23"/>
                <w:szCs w:val="23"/>
              </w:rPr>
              <w:t>1-5</w:t>
            </w:r>
          </w:p>
        </w:tc>
      </w:tr>
    </w:tbl>
    <w:p w14:paraId="0EA46636" w14:textId="77777777" w:rsidR="005B193F" w:rsidRPr="00995351" w:rsidRDefault="005B193F" w:rsidP="00FE72F7">
      <w:pPr>
        <w:spacing w:after="0"/>
        <w:rPr>
          <w:sz w:val="23"/>
          <w:szCs w:val="23"/>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success profile for this role, as per the DIA Capability Framework. It also outlines what you will bring specifically, in terms of experience, knowledge, skills and other requirements."/>
      </w:tblPr>
      <w:tblGrid>
        <w:gridCol w:w="4747"/>
        <w:gridCol w:w="4768"/>
      </w:tblGrid>
      <w:tr w:rsidR="00E20863" w:rsidRPr="00995351" w14:paraId="038ED6F2" w14:textId="77777777" w:rsidTr="001D30D4">
        <w:trPr>
          <w:tblHeader/>
        </w:trPr>
        <w:tc>
          <w:tcPr>
            <w:tcW w:w="4873"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53F1E288" w14:textId="77777777" w:rsidR="008023C3" w:rsidRPr="00995351" w:rsidRDefault="008023C3" w:rsidP="00B90EE6">
            <w:pPr>
              <w:pStyle w:val="Tableheading"/>
              <w:rPr>
                <w:sz w:val="24"/>
              </w:rPr>
            </w:pPr>
            <w:r w:rsidRPr="00995351">
              <w:rPr>
                <w:sz w:val="24"/>
              </w:rPr>
              <w:t>Your success profile for this role</w:t>
            </w:r>
          </w:p>
        </w:tc>
        <w:tc>
          <w:tcPr>
            <w:tcW w:w="4874"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018C6F1A" w14:textId="77777777" w:rsidR="008023C3" w:rsidRPr="00995351" w:rsidRDefault="008023C3" w:rsidP="00B90EE6">
            <w:pPr>
              <w:pStyle w:val="Tableheading"/>
              <w:rPr>
                <w:sz w:val="24"/>
              </w:rPr>
            </w:pPr>
            <w:r w:rsidRPr="00995351">
              <w:rPr>
                <w:sz w:val="24"/>
              </w:rPr>
              <w:t>What you will bring specifically</w:t>
            </w:r>
          </w:p>
        </w:tc>
      </w:tr>
      <w:tr w:rsidR="00E20863" w:rsidRPr="00995351" w14:paraId="2FBF1F19" w14:textId="77777777" w:rsidTr="001D30D4">
        <w:tc>
          <w:tcPr>
            <w:tcW w:w="4873" w:type="dxa"/>
            <w:tcBorders>
              <w:top w:val="nil"/>
              <w:left w:val="nil"/>
              <w:bottom w:val="single" w:sz="6" w:space="0" w:color="1F546B" w:themeColor="text2"/>
              <w:right w:val="single" w:sz="6" w:space="0" w:color="1F546B" w:themeColor="text2"/>
            </w:tcBorders>
          </w:tcPr>
          <w:p w14:paraId="19D8B29F" w14:textId="77777777" w:rsidR="008023C3" w:rsidRPr="00995351" w:rsidRDefault="008023C3" w:rsidP="009E40D1">
            <w:pPr>
              <w:pStyle w:val="Tablenormal0"/>
              <w:rPr>
                <w:sz w:val="23"/>
                <w:szCs w:val="23"/>
              </w:rPr>
            </w:pPr>
            <w:r w:rsidRPr="00995351">
              <w:rPr>
                <w:sz w:val="23"/>
                <w:szCs w:val="23"/>
              </w:rPr>
              <w:t xml:space="preserve">At DIA, we have a Capability Framework to help guide our people towards the behaviours and skills needed to be successful. The core success profile for </w:t>
            </w:r>
            <w:r w:rsidR="00EA6AD8" w:rsidRPr="00995351">
              <w:rPr>
                <w:sz w:val="23"/>
                <w:szCs w:val="23"/>
              </w:rPr>
              <w:t>this</w:t>
            </w:r>
            <w:r w:rsidRPr="00995351">
              <w:rPr>
                <w:sz w:val="23"/>
                <w:szCs w:val="23"/>
              </w:rPr>
              <w:t xml:space="preserve"> role is </w:t>
            </w:r>
            <w:hyperlink r:id="rId17" w:history="1">
              <w:r w:rsidR="00F74C2B" w:rsidRPr="00995351">
                <w:rPr>
                  <w:rStyle w:val="Hyperlink"/>
                  <w:sz w:val="23"/>
                  <w:szCs w:val="23"/>
                </w:rPr>
                <w:t>Senior</w:t>
              </w:r>
              <w:r w:rsidR="005F3820" w:rsidRPr="00995351">
                <w:rPr>
                  <w:rStyle w:val="Hyperlink"/>
                  <w:sz w:val="23"/>
                  <w:szCs w:val="23"/>
                </w:rPr>
                <w:t xml:space="preserve"> Leader</w:t>
              </w:r>
            </w:hyperlink>
            <w:r w:rsidR="001D30D4" w:rsidRPr="00995351">
              <w:rPr>
                <w:sz w:val="23"/>
                <w:szCs w:val="23"/>
              </w:rPr>
              <w:t>.</w:t>
            </w:r>
            <w:r w:rsidRPr="00995351">
              <w:rPr>
                <w:sz w:val="23"/>
                <w:szCs w:val="23"/>
              </w:rPr>
              <w:br/>
            </w:r>
            <w:r w:rsidRPr="00995351">
              <w:rPr>
                <w:sz w:val="23"/>
                <w:szCs w:val="23"/>
              </w:rPr>
              <w:br/>
            </w:r>
            <w:r w:rsidRPr="00995351">
              <w:rPr>
                <w:b/>
                <w:bCs/>
                <w:sz w:val="23"/>
                <w:szCs w:val="23"/>
              </w:rPr>
              <w:t>Keys to Success:</w:t>
            </w:r>
          </w:p>
          <w:p w14:paraId="29493F49" w14:textId="77777777" w:rsidR="00F74C2B" w:rsidRPr="00995351" w:rsidRDefault="00F74C2B" w:rsidP="00F74C2B">
            <w:pPr>
              <w:pStyle w:val="Tablebullet"/>
              <w:rPr>
                <w:sz w:val="23"/>
                <w:szCs w:val="23"/>
              </w:rPr>
            </w:pPr>
            <w:r w:rsidRPr="00995351">
              <w:rPr>
                <w:sz w:val="23"/>
                <w:szCs w:val="23"/>
              </w:rPr>
              <w:t>Adaptive leadership</w:t>
            </w:r>
          </w:p>
          <w:p w14:paraId="7A0D8C98" w14:textId="77777777" w:rsidR="00F74C2B" w:rsidRPr="00995351" w:rsidRDefault="00F74C2B" w:rsidP="00F74C2B">
            <w:pPr>
              <w:pStyle w:val="Tablebullet"/>
              <w:rPr>
                <w:sz w:val="23"/>
                <w:szCs w:val="23"/>
              </w:rPr>
            </w:pPr>
            <w:r w:rsidRPr="00995351">
              <w:rPr>
                <w:sz w:val="23"/>
                <w:szCs w:val="23"/>
              </w:rPr>
              <w:t>Driving innovation and transformation</w:t>
            </w:r>
          </w:p>
          <w:p w14:paraId="74D794A8" w14:textId="77777777" w:rsidR="00F74C2B" w:rsidRPr="00995351" w:rsidRDefault="00F74C2B" w:rsidP="00F74C2B">
            <w:pPr>
              <w:pStyle w:val="Tablebullet"/>
              <w:rPr>
                <w:sz w:val="23"/>
                <w:szCs w:val="23"/>
              </w:rPr>
            </w:pPr>
            <w:r w:rsidRPr="00995351">
              <w:rPr>
                <w:sz w:val="23"/>
                <w:szCs w:val="23"/>
              </w:rPr>
              <w:t>Strategic agility</w:t>
            </w:r>
          </w:p>
          <w:p w14:paraId="0D6EF189" w14:textId="77777777" w:rsidR="00F74C2B" w:rsidRPr="00995351" w:rsidRDefault="00F74C2B" w:rsidP="00F74C2B">
            <w:pPr>
              <w:pStyle w:val="Tablebullet"/>
              <w:rPr>
                <w:sz w:val="23"/>
                <w:szCs w:val="23"/>
              </w:rPr>
            </w:pPr>
            <w:r w:rsidRPr="00995351">
              <w:rPr>
                <w:sz w:val="23"/>
                <w:szCs w:val="23"/>
              </w:rPr>
              <w:t>Political savvy</w:t>
            </w:r>
          </w:p>
          <w:p w14:paraId="7434DC06" w14:textId="77777777" w:rsidR="00F74C2B" w:rsidRPr="00995351" w:rsidRDefault="00F74C2B" w:rsidP="00F74C2B">
            <w:pPr>
              <w:pStyle w:val="Tablebullet"/>
              <w:rPr>
                <w:sz w:val="23"/>
                <w:szCs w:val="23"/>
              </w:rPr>
            </w:pPr>
            <w:r w:rsidRPr="00995351">
              <w:rPr>
                <w:sz w:val="23"/>
                <w:szCs w:val="23"/>
              </w:rPr>
              <w:lastRenderedPageBreak/>
              <w:t>Empowering people for success</w:t>
            </w:r>
          </w:p>
          <w:p w14:paraId="2AE9C86B" w14:textId="77777777" w:rsidR="008023C3" w:rsidRPr="00995351" w:rsidRDefault="00F74C2B" w:rsidP="00F74C2B">
            <w:pPr>
              <w:pStyle w:val="Tablebullet"/>
              <w:rPr>
                <w:sz w:val="23"/>
                <w:szCs w:val="23"/>
              </w:rPr>
            </w:pPr>
            <w:r w:rsidRPr="00995351">
              <w:rPr>
                <w:sz w:val="23"/>
                <w:szCs w:val="23"/>
              </w:rPr>
              <w:t>Inspiring others through vision and purpose</w:t>
            </w:r>
          </w:p>
        </w:tc>
        <w:tc>
          <w:tcPr>
            <w:tcW w:w="4874" w:type="dxa"/>
            <w:tcBorders>
              <w:top w:val="nil"/>
              <w:left w:val="single" w:sz="6" w:space="0" w:color="1F546B" w:themeColor="text2"/>
              <w:bottom w:val="single" w:sz="6" w:space="0" w:color="1F546B" w:themeColor="text2"/>
              <w:right w:val="nil"/>
            </w:tcBorders>
          </w:tcPr>
          <w:p w14:paraId="65BA7C9F" w14:textId="77777777" w:rsidR="008023C3" w:rsidRPr="00995351" w:rsidRDefault="008023C3" w:rsidP="001D30D4">
            <w:pPr>
              <w:pStyle w:val="Tablenormal0"/>
              <w:rPr>
                <w:b/>
                <w:bCs/>
                <w:sz w:val="23"/>
                <w:szCs w:val="23"/>
              </w:rPr>
            </w:pPr>
            <w:r w:rsidRPr="00995351">
              <w:rPr>
                <w:b/>
                <w:bCs/>
                <w:sz w:val="23"/>
                <w:szCs w:val="23"/>
              </w:rPr>
              <w:lastRenderedPageBreak/>
              <w:t xml:space="preserve">Experience: </w:t>
            </w:r>
          </w:p>
          <w:p w14:paraId="4E9FB2E0" w14:textId="77777777" w:rsidR="00C80408" w:rsidRPr="00995351" w:rsidRDefault="00C80408" w:rsidP="0097203A">
            <w:pPr>
              <w:pStyle w:val="Tablebullet"/>
              <w:rPr>
                <w:sz w:val="23"/>
                <w:szCs w:val="23"/>
              </w:rPr>
            </w:pPr>
            <w:r w:rsidRPr="00995351">
              <w:rPr>
                <w:sz w:val="23"/>
                <w:szCs w:val="23"/>
              </w:rPr>
              <w:t>Proven experience of successful leadership in a senior public or private sector environment with a proven ability to achieve outcomes and to deliver to diverse stakeholder expectations</w:t>
            </w:r>
          </w:p>
          <w:p w14:paraId="5F9E16DC" w14:textId="6D86998E" w:rsidR="00C80408" w:rsidRPr="00995351" w:rsidRDefault="00D85023" w:rsidP="00D85023">
            <w:pPr>
              <w:pStyle w:val="Tablebullet"/>
              <w:rPr>
                <w:sz w:val="23"/>
                <w:szCs w:val="23"/>
              </w:rPr>
            </w:pPr>
            <w:r w:rsidRPr="00995351">
              <w:rPr>
                <w:sz w:val="23"/>
                <w:szCs w:val="23"/>
              </w:rPr>
              <w:t>E</w:t>
            </w:r>
            <w:r w:rsidR="00C80408" w:rsidRPr="00995351">
              <w:rPr>
                <w:sz w:val="23"/>
                <w:szCs w:val="23"/>
              </w:rPr>
              <w:t>xperience leading and embedding change and establishing new ways of working</w:t>
            </w:r>
          </w:p>
          <w:p w14:paraId="4EDFEDCE" w14:textId="45461D61" w:rsidR="00C80408" w:rsidRPr="00995351" w:rsidRDefault="00C80408" w:rsidP="0097203A">
            <w:pPr>
              <w:pStyle w:val="Tablebullet"/>
              <w:rPr>
                <w:sz w:val="23"/>
                <w:szCs w:val="23"/>
              </w:rPr>
            </w:pPr>
            <w:r w:rsidRPr="00995351">
              <w:rPr>
                <w:sz w:val="23"/>
                <w:szCs w:val="23"/>
              </w:rPr>
              <w:t xml:space="preserve">Experience in leading the </w:t>
            </w:r>
            <w:r w:rsidR="00D85023" w:rsidRPr="00995351">
              <w:rPr>
                <w:sz w:val="23"/>
                <w:szCs w:val="23"/>
              </w:rPr>
              <w:t xml:space="preserve">development and constantly managing and monitoring of a </w:t>
            </w:r>
            <w:r w:rsidR="00D85023" w:rsidRPr="00995351">
              <w:rPr>
                <w:sz w:val="23"/>
                <w:szCs w:val="23"/>
              </w:rPr>
              <w:lastRenderedPageBreak/>
              <w:t xml:space="preserve">strategic workplan </w:t>
            </w:r>
            <w:r w:rsidRPr="00995351">
              <w:rPr>
                <w:sz w:val="23"/>
                <w:szCs w:val="23"/>
              </w:rPr>
              <w:t>in a large and complex environment</w:t>
            </w:r>
          </w:p>
          <w:p w14:paraId="7FB2E9A6" w14:textId="7D0EB260" w:rsidR="00C80408" w:rsidRPr="00995351" w:rsidRDefault="00D85023" w:rsidP="0097203A">
            <w:pPr>
              <w:pStyle w:val="Tablebullet"/>
              <w:rPr>
                <w:sz w:val="23"/>
                <w:szCs w:val="23"/>
              </w:rPr>
            </w:pPr>
            <w:r w:rsidRPr="00995351">
              <w:rPr>
                <w:sz w:val="23"/>
                <w:szCs w:val="23"/>
              </w:rPr>
              <w:t>E</w:t>
            </w:r>
            <w:r w:rsidR="00C80408" w:rsidRPr="00995351">
              <w:rPr>
                <w:sz w:val="23"/>
                <w:szCs w:val="23"/>
              </w:rPr>
              <w:t>xperience as a member of a leadership team and contribution to collective decision making for an entire branch</w:t>
            </w:r>
          </w:p>
          <w:p w14:paraId="0DBA8223" w14:textId="37DDF733" w:rsidR="00C80408" w:rsidRPr="00995351" w:rsidRDefault="00C80408" w:rsidP="0097203A">
            <w:pPr>
              <w:pStyle w:val="Tablebullet"/>
              <w:rPr>
                <w:sz w:val="23"/>
                <w:szCs w:val="23"/>
              </w:rPr>
            </w:pPr>
            <w:r w:rsidRPr="00995351">
              <w:rPr>
                <w:sz w:val="23"/>
                <w:szCs w:val="23"/>
              </w:rPr>
              <w:t>Experience of monitoring performance of success in achieving outcomes</w:t>
            </w:r>
          </w:p>
          <w:p w14:paraId="3E4BD21A" w14:textId="66491613" w:rsidR="008023C3" w:rsidRPr="00995351" w:rsidRDefault="00C80408" w:rsidP="0097203A">
            <w:pPr>
              <w:pStyle w:val="Tablebullet"/>
              <w:rPr>
                <w:sz w:val="23"/>
                <w:szCs w:val="23"/>
              </w:rPr>
            </w:pPr>
            <w:r w:rsidRPr="00995351">
              <w:rPr>
                <w:sz w:val="23"/>
                <w:szCs w:val="23"/>
              </w:rPr>
              <w:t>Proven success as an influencer across a large organisation and sector</w:t>
            </w:r>
          </w:p>
          <w:p w14:paraId="7DC81053" w14:textId="3AE613B0" w:rsidR="008023C3" w:rsidRPr="00995351" w:rsidRDefault="008023C3" w:rsidP="001D30D4">
            <w:pPr>
              <w:pStyle w:val="Tablenormal0"/>
              <w:rPr>
                <w:b/>
                <w:bCs/>
                <w:sz w:val="23"/>
                <w:szCs w:val="23"/>
              </w:rPr>
            </w:pPr>
            <w:r w:rsidRPr="00995351">
              <w:rPr>
                <w:b/>
                <w:bCs/>
                <w:sz w:val="23"/>
                <w:szCs w:val="23"/>
              </w:rPr>
              <w:t>Knowledge:</w:t>
            </w:r>
          </w:p>
          <w:p w14:paraId="236F0258" w14:textId="3CF71951" w:rsidR="00C80408" w:rsidRPr="00995351" w:rsidRDefault="00E20863" w:rsidP="0097203A">
            <w:pPr>
              <w:pStyle w:val="Tablebullet"/>
              <w:rPr>
                <w:sz w:val="23"/>
                <w:szCs w:val="23"/>
              </w:rPr>
            </w:pPr>
            <w:r w:rsidRPr="00995351">
              <w:rPr>
                <w:sz w:val="23"/>
                <w:szCs w:val="23"/>
              </w:rPr>
              <w:t xml:space="preserve">In-depth </w:t>
            </w:r>
            <w:r w:rsidR="00C80408" w:rsidRPr="00995351">
              <w:rPr>
                <w:sz w:val="23"/>
                <w:szCs w:val="23"/>
              </w:rPr>
              <w:t>understanding of the machinery of government</w:t>
            </w:r>
          </w:p>
          <w:p w14:paraId="7E918C5E" w14:textId="42D81AA5" w:rsidR="00E20863" w:rsidRPr="00995351" w:rsidRDefault="00E20863" w:rsidP="0097203A">
            <w:pPr>
              <w:pStyle w:val="Tablebullet"/>
              <w:rPr>
                <w:sz w:val="23"/>
                <w:szCs w:val="23"/>
              </w:rPr>
            </w:pPr>
            <w:r w:rsidRPr="00995351">
              <w:rPr>
                <w:sz w:val="23"/>
                <w:szCs w:val="23"/>
              </w:rPr>
              <w:t>Comprehensive knowledge and understanding of governance and frameworks/models for planning and reporting</w:t>
            </w:r>
          </w:p>
          <w:p w14:paraId="74B9A263" w14:textId="00169CFF" w:rsidR="00C80408" w:rsidRPr="00995351" w:rsidRDefault="00C80408" w:rsidP="0097203A">
            <w:pPr>
              <w:pStyle w:val="Tablebullet"/>
              <w:rPr>
                <w:sz w:val="23"/>
                <w:szCs w:val="23"/>
              </w:rPr>
            </w:pPr>
            <w:r w:rsidRPr="00995351">
              <w:rPr>
                <w:sz w:val="23"/>
                <w:szCs w:val="23"/>
              </w:rPr>
              <w:t xml:space="preserve">Specific knowledge derived from a combination of advanced academic study in related fields related to the role and/or leadership and professional experience in applying knowledge in the context of a large complex organisation </w:t>
            </w:r>
          </w:p>
          <w:p w14:paraId="1F109DEA" w14:textId="77777777" w:rsidR="008023C3" w:rsidRPr="00995351" w:rsidRDefault="008023C3" w:rsidP="001D30D4">
            <w:pPr>
              <w:pStyle w:val="Tablenormal0"/>
              <w:rPr>
                <w:b/>
                <w:bCs/>
                <w:sz w:val="23"/>
                <w:szCs w:val="23"/>
              </w:rPr>
            </w:pPr>
            <w:r w:rsidRPr="00995351">
              <w:rPr>
                <w:b/>
                <w:bCs/>
                <w:sz w:val="23"/>
                <w:szCs w:val="23"/>
              </w:rPr>
              <w:t>Skills:</w:t>
            </w:r>
          </w:p>
          <w:p w14:paraId="463437C7" w14:textId="08040672" w:rsidR="00C80408" w:rsidRPr="00995351" w:rsidRDefault="00C80408" w:rsidP="0097203A">
            <w:pPr>
              <w:pStyle w:val="Tablebullet"/>
              <w:rPr>
                <w:sz w:val="23"/>
                <w:szCs w:val="23"/>
              </w:rPr>
            </w:pPr>
            <w:r w:rsidRPr="00995351">
              <w:rPr>
                <w:sz w:val="23"/>
                <w:szCs w:val="23"/>
              </w:rPr>
              <w:t xml:space="preserve">Problem solving skills to work through </w:t>
            </w:r>
            <w:r w:rsidR="00E20863" w:rsidRPr="00995351">
              <w:rPr>
                <w:sz w:val="23"/>
                <w:szCs w:val="23"/>
              </w:rPr>
              <w:t>complex issues, using</w:t>
            </w:r>
            <w:r w:rsidRPr="00995351">
              <w:rPr>
                <w:sz w:val="23"/>
                <w:szCs w:val="23"/>
              </w:rPr>
              <w:t xml:space="preserve"> in depth analysis in the context of the overall business issues</w:t>
            </w:r>
            <w:r w:rsidR="00E20863" w:rsidRPr="00995351">
              <w:rPr>
                <w:sz w:val="23"/>
                <w:szCs w:val="23"/>
              </w:rPr>
              <w:t>,</w:t>
            </w:r>
            <w:r w:rsidRPr="00995351">
              <w:rPr>
                <w:sz w:val="23"/>
                <w:szCs w:val="23"/>
              </w:rPr>
              <w:t xml:space="preserve"> and the judgement to select and apply/recommend appropriate decisions</w:t>
            </w:r>
          </w:p>
          <w:p w14:paraId="75E8FCFB" w14:textId="02773AD6" w:rsidR="00E20863" w:rsidRPr="00995351" w:rsidRDefault="00E20863" w:rsidP="00E20863">
            <w:pPr>
              <w:pStyle w:val="Tablebullet"/>
              <w:rPr>
                <w:sz w:val="23"/>
                <w:szCs w:val="23"/>
              </w:rPr>
            </w:pPr>
            <w:r w:rsidRPr="00995351">
              <w:rPr>
                <w:sz w:val="23"/>
                <w:szCs w:val="23"/>
              </w:rPr>
              <w:t>Ability to plan, prioritise and reprioritise work and understand the interconnections between a complex ecosystem of work programmes and priorities</w:t>
            </w:r>
          </w:p>
          <w:p w14:paraId="5C4C9CB7" w14:textId="1FDB61D8" w:rsidR="00C80408" w:rsidRPr="00995351" w:rsidRDefault="00C80408" w:rsidP="009925AE">
            <w:pPr>
              <w:pStyle w:val="Tablebullet"/>
              <w:rPr>
                <w:sz w:val="23"/>
                <w:szCs w:val="23"/>
              </w:rPr>
            </w:pPr>
            <w:r w:rsidRPr="00995351">
              <w:rPr>
                <w:sz w:val="23"/>
                <w:szCs w:val="23"/>
              </w:rPr>
              <w:t>Senior management, leadership and change leadership skills in the facilitation of collective decision making</w:t>
            </w:r>
          </w:p>
          <w:p w14:paraId="02250701" w14:textId="4BC55A61" w:rsidR="00C80408" w:rsidRPr="00995351" w:rsidRDefault="00E20863" w:rsidP="0097203A">
            <w:pPr>
              <w:pStyle w:val="Tablebullet"/>
              <w:rPr>
                <w:sz w:val="23"/>
                <w:szCs w:val="23"/>
              </w:rPr>
            </w:pPr>
            <w:r w:rsidRPr="00995351">
              <w:rPr>
                <w:sz w:val="23"/>
                <w:szCs w:val="23"/>
              </w:rPr>
              <w:t>I</w:t>
            </w:r>
            <w:r w:rsidR="00C80408" w:rsidRPr="00995351">
              <w:rPr>
                <w:sz w:val="23"/>
                <w:szCs w:val="23"/>
              </w:rPr>
              <w:t>nterpersonal skills in influencing others which can be applied at the ministeri</w:t>
            </w:r>
            <w:r w:rsidRPr="00995351">
              <w:rPr>
                <w:sz w:val="23"/>
                <w:szCs w:val="23"/>
              </w:rPr>
              <w:t xml:space="preserve">al and cross agency level </w:t>
            </w:r>
          </w:p>
          <w:p w14:paraId="618A61C4" w14:textId="66B44A03" w:rsidR="00C80408" w:rsidRPr="00995351" w:rsidRDefault="00E20863" w:rsidP="0097203A">
            <w:pPr>
              <w:pStyle w:val="Tablebullet"/>
              <w:rPr>
                <w:sz w:val="23"/>
                <w:szCs w:val="23"/>
              </w:rPr>
            </w:pPr>
            <w:r w:rsidRPr="00995351">
              <w:rPr>
                <w:sz w:val="23"/>
                <w:szCs w:val="23"/>
              </w:rPr>
              <w:t>Experience</w:t>
            </w:r>
            <w:r w:rsidR="00C80408" w:rsidRPr="00995351">
              <w:rPr>
                <w:sz w:val="23"/>
                <w:szCs w:val="23"/>
              </w:rPr>
              <w:t xml:space="preserve"> in managing difficult and diverse stakeholder relationships and expectations</w:t>
            </w:r>
          </w:p>
          <w:p w14:paraId="611236DA" w14:textId="77777777" w:rsidR="008023C3" w:rsidRPr="00995351" w:rsidRDefault="008023C3" w:rsidP="001D30D4">
            <w:pPr>
              <w:pStyle w:val="Tablenormal0"/>
              <w:rPr>
                <w:b/>
                <w:bCs/>
                <w:sz w:val="23"/>
                <w:szCs w:val="23"/>
              </w:rPr>
            </w:pPr>
            <w:r w:rsidRPr="00995351">
              <w:rPr>
                <w:b/>
                <w:bCs/>
                <w:sz w:val="23"/>
                <w:szCs w:val="23"/>
              </w:rPr>
              <w:t>Other requirements:</w:t>
            </w:r>
          </w:p>
          <w:p w14:paraId="4DF1A188" w14:textId="3078AD5E" w:rsidR="00C80408" w:rsidRPr="00995351" w:rsidRDefault="00977A8B" w:rsidP="0097203A">
            <w:pPr>
              <w:pStyle w:val="Tablebullet"/>
              <w:rPr>
                <w:sz w:val="23"/>
                <w:szCs w:val="23"/>
              </w:rPr>
            </w:pPr>
            <w:r w:rsidRPr="00995351">
              <w:rPr>
                <w:sz w:val="23"/>
                <w:szCs w:val="23"/>
              </w:rPr>
              <w:t xml:space="preserve">Ability to obtain and maintain a </w:t>
            </w:r>
            <w:proofErr w:type="gramStart"/>
            <w:r w:rsidR="00F74990">
              <w:rPr>
                <w:sz w:val="23"/>
                <w:szCs w:val="23"/>
              </w:rPr>
              <w:t>Top Secret</w:t>
            </w:r>
            <w:proofErr w:type="gramEnd"/>
            <w:r w:rsidRPr="00995351">
              <w:rPr>
                <w:sz w:val="23"/>
                <w:szCs w:val="23"/>
              </w:rPr>
              <w:t xml:space="preserve"> security clearance</w:t>
            </w:r>
          </w:p>
          <w:p w14:paraId="12CF24B0" w14:textId="49CEAB22" w:rsidR="008023C3" w:rsidRPr="00995351" w:rsidRDefault="00C80408" w:rsidP="0097203A">
            <w:pPr>
              <w:pStyle w:val="Tablebullet"/>
              <w:rPr>
                <w:sz w:val="23"/>
                <w:szCs w:val="23"/>
              </w:rPr>
            </w:pPr>
            <w:r w:rsidRPr="00995351">
              <w:rPr>
                <w:sz w:val="23"/>
                <w:szCs w:val="23"/>
              </w:rPr>
              <w:t>Relevant tertiary qualification and/or considerable professional experience and standing e.g. in a senior business role</w:t>
            </w:r>
          </w:p>
        </w:tc>
      </w:tr>
    </w:tbl>
    <w:p w14:paraId="5218CD89" w14:textId="77777777" w:rsidR="001676BD" w:rsidRPr="00995351" w:rsidRDefault="001676BD" w:rsidP="00B90EE6">
      <w:pPr>
        <w:pStyle w:val="Tinyline"/>
        <w:rPr>
          <w:sz w:val="23"/>
          <w:szCs w:val="23"/>
        </w:rPr>
      </w:pPr>
    </w:p>
    <w:sectPr w:rsidR="001676BD" w:rsidRPr="00995351" w:rsidSect="00952122">
      <w:pgSz w:w="11907" w:h="16840" w:code="9"/>
      <w:pgMar w:top="1134" w:right="1134" w:bottom="992" w:left="1134"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13249" w14:textId="77777777" w:rsidR="007F4C31" w:rsidRDefault="007F4C31">
      <w:r>
        <w:separator/>
      </w:r>
    </w:p>
    <w:p w14:paraId="0EA2DF9B" w14:textId="77777777" w:rsidR="007F4C31" w:rsidRDefault="007F4C31"/>
    <w:p w14:paraId="196902EB" w14:textId="77777777" w:rsidR="007F4C31" w:rsidRDefault="007F4C31"/>
  </w:endnote>
  <w:endnote w:type="continuationSeparator" w:id="0">
    <w:p w14:paraId="1485193C" w14:textId="77777777" w:rsidR="007F4C31" w:rsidRDefault="007F4C31">
      <w:r>
        <w:continuationSeparator/>
      </w:r>
    </w:p>
    <w:p w14:paraId="5125C8AB" w14:textId="77777777" w:rsidR="007F4C31" w:rsidRDefault="007F4C31"/>
    <w:p w14:paraId="319038F7" w14:textId="77777777" w:rsidR="007F4C31" w:rsidRDefault="007F4C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1CBB1" w14:textId="77777777" w:rsidR="003F52D2" w:rsidRDefault="003F52D2" w:rsidP="001C15EE">
    <w:pPr>
      <w:pStyle w:val="Footer"/>
      <w:tabs>
        <w:tab w:val="right" w:pos="9639"/>
      </w:tabs>
      <w:ind w:right="-1"/>
    </w:pPr>
    <w:r>
      <w:tab/>
      <w:t xml:space="preserve">Page </w:t>
    </w:r>
    <w:r>
      <w:fldChar w:fldCharType="begin"/>
    </w:r>
    <w:r>
      <w:instrText xml:space="preserve"> PAGE  \* Arabic  \* MERGEFORMAT </w:instrText>
    </w:r>
    <w:r>
      <w:fldChar w:fldCharType="separate"/>
    </w:r>
    <w:r w:rsidR="00A07A83">
      <w:rPr>
        <w:noProof/>
      </w:rPr>
      <w:t>2</w:t>
    </w:r>
    <w:r>
      <w:fldChar w:fldCharType="end"/>
    </w:r>
    <w:r>
      <w:t xml:space="preserve"> of </w:t>
    </w:r>
    <w:r w:rsidR="00493EC9">
      <w:fldChar w:fldCharType="begin"/>
    </w:r>
    <w:r w:rsidR="00493EC9">
      <w:instrText xml:space="preserve"> NUMPAGES   \* MERGEFORMAT </w:instrText>
    </w:r>
    <w:r w:rsidR="00493EC9">
      <w:fldChar w:fldCharType="separate"/>
    </w:r>
    <w:r w:rsidR="00A07A83">
      <w:rPr>
        <w:noProof/>
      </w:rPr>
      <w:t>3</w:t>
    </w:r>
    <w:r w:rsidR="00493EC9">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3FC0" w14:textId="77777777" w:rsidR="003F52D2" w:rsidRDefault="00303752" w:rsidP="00303752">
    <w:pPr>
      <w:pStyle w:val="Footer"/>
      <w:tabs>
        <w:tab w:val="right" w:pos="9639"/>
      </w:tabs>
      <w:ind w:right="-1"/>
      <w:jc w:val="right"/>
    </w:pPr>
    <w:r>
      <w:rPr>
        <w:noProof/>
        <w:lang w:eastAsia="en-NZ"/>
      </w:rPr>
      <w:drawing>
        <wp:inline distT="0" distB="0" distL="0" distR="0" wp14:anchorId="7F1BEBCF" wp14:editId="6D326ED0">
          <wp:extent cx="2335530" cy="633095"/>
          <wp:effectExtent l="0" t="0" r="0" b="0"/>
          <wp:docPr id="1" name="Picture 1"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633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F826" w14:textId="77777777" w:rsidR="007F4C31" w:rsidRDefault="007F4C31" w:rsidP="00FB1990">
      <w:pPr>
        <w:pStyle w:val="Spacer"/>
      </w:pPr>
      <w:r>
        <w:separator/>
      </w:r>
    </w:p>
    <w:p w14:paraId="0A6A9E54" w14:textId="77777777" w:rsidR="007F4C31" w:rsidRDefault="007F4C31" w:rsidP="00FB1990">
      <w:pPr>
        <w:pStyle w:val="Spacer"/>
      </w:pPr>
    </w:p>
  </w:footnote>
  <w:footnote w:type="continuationSeparator" w:id="0">
    <w:p w14:paraId="79F37C2F" w14:textId="77777777" w:rsidR="007F4C31" w:rsidRDefault="007F4C31">
      <w:r>
        <w:continuationSeparator/>
      </w:r>
    </w:p>
    <w:p w14:paraId="0CF0176E" w14:textId="77777777" w:rsidR="007F4C31" w:rsidRDefault="007F4C31"/>
    <w:p w14:paraId="71BF9047" w14:textId="77777777" w:rsidR="007F4C31" w:rsidRDefault="007F4C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EE080" w14:textId="77777777" w:rsidR="009D598F" w:rsidRDefault="003F52D2" w:rsidP="00C40EAE">
    <w:pPr>
      <w:pStyle w:val="Header"/>
      <w:jc w:val="right"/>
    </w:pPr>
    <w:r w:rsidRPr="00CD3498">
      <w:tab/>
    </w:r>
    <w:r w:rsidR="009D598F" w:rsidRPr="00CD3498">
      <w:tab/>
      <w:t>Te Tari Taiwhenua</w:t>
    </w:r>
  </w:p>
  <w:p w14:paraId="7A274D5D" w14:textId="77777777" w:rsidR="003F52D2" w:rsidRPr="00952122" w:rsidRDefault="009D598F" w:rsidP="009D598F">
    <w:pPr>
      <w:pStyle w:val="Header"/>
      <w:jc w:val="right"/>
    </w:pPr>
    <w:r w:rsidRPr="00CD3498">
      <w:tab/>
      <w:t>Department of Internal Affairs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3975AC" w14:textId="77777777" w:rsidR="003F52D2" w:rsidRDefault="003F52D2">
    <w:pPr>
      <w:pStyle w:val="Header"/>
    </w:pPr>
    <w:r>
      <w:rPr>
        <w:noProof/>
        <w:lang w:eastAsia="en-NZ"/>
      </w:rPr>
      <w:drawing>
        <wp:anchor distT="0" distB="0" distL="114300" distR="114300" simplePos="0" relativeHeight="251660288" behindDoc="0" locked="0" layoutInCell="1" allowOverlap="1" wp14:anchorId="04F5953A" wp14:editId="5C6A8FCF">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724267"/>
    <w:multiLevelType w:val="hybridMultilevel"/>
    <w:tmpl w:val="7F44ED76"/>
    <w:lvl w:ilvl="0" w:tplc="F16694A2">
      <w:start w:val="1"/>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9"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0"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1" w15:restartNumberingAfterBreak="0">
    <w:nsid w:val="185F18D4"/>
    <w:multiLevelType w:val="hybridMultilevel"/>
    <w:tmpl w:val="645A53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3" w15:restartNumberingAfterBreak="0">
    <w:nsid w:val="1E0448EE"/>
    <w:multiLevelType w:val="hybridMultilevel"/>
    <w:tmpl w:val="B0FA1666"/>
    <w:lvl w:ilvl="0" w:tplc="018A66F4">
      <w:start w:val="1"/>
      <w:numFmt w:val="bullet"/>
      <w:lvlText w:val=""/>
      <w:lvlJc w:val="left"/>
      <w:pPr>
        <w:ind w:left="-696" w:hanging="360"/>
      </w:pPr>
      <w:rPr>
        <w:rFonts w:ascii="Symbol" w:hAnsi="Symbol" w:hint="default"/>
        <w:color w:val="auto"/>
      </w:rPr>
    </w:lvl>
    <w:lvl w:ilvl="1" w:tplc="14090003">
      <w:start w:val="1"/>
      <w:numFmt w:val="bullet"/>
      <w:lvlText w:val="o"/>
      <w:lvlJc w:val="left"/>
      <w:pPr>
        <w:ind w:left="24" w:hanging="360"/>
      </w:pPr>
      <w:rPr>
        <w:rFonts w:ascii="Courier New" w:hAnsi="Courier New" w:cs="Courier New" w:hint="default"/>
      </w:rPr>
    </w:lvl>
    <w:lvl w:ilvl="2" w:tplc="14090005">
      <w:start w:val="1"/>
      <w:numFmt w:val="bullet"/>
      <w:lvlText w:val=""/>
      <w:lvlJc w:val="left"/>
      <w:pPr>
        <w:ind w:left="744" w:hanging="360"/>
      </w:pPr>
      <w:rPr>
        <w:rFonts w:ascii="Wingdings" w:hAnsi="Wingdings" w:hint="default"/>
      </w:rPr>
    </w:lvl>
    <w:lvl w:ilvl="3" w:tplc="14090001">
      <w:start w:val="1"/>
      <w:numFmt w:val="bullet"/>
      <w:lvlText w:val=""/>
      <w:lvlJc w:val="left"/>
      <w:pPr>
        <w:ind w:left="1464" w:hanging="360"/>
      </w:pPr>
      <w:rPr>
        <w:rFonts w:ascii="Symbol" w:hAnsi="Symbol" w:hint="default"/>
      </w:rPr>
    </w:lvl>
    <w:lvl w:ilvl="4" w:tplc="14090003" w:tentative="1">
      <w:start w:val="1"/>
      <w:numFmt w:val="bullet"/>
      <w:lvlText w:val="o"/>
      <w:lvlJc w:val="left"/>
      <w:pPr>
        <w:ind w:left="2184" w:hanging="360"/>
      </w:pPr>
      <w:rPr>
        <w:rFonts w:ascii="Courier New" w:hAnsi="Courier New" w:cs="Courier New" w:hint="default"/>
      </w:rPr>
    </w:lvl>
    <w:lvl w:ilvl="5" w:tplc="14090005" w:tentative="1">
      <w:start w:val="1"/>
      <w:numFmt w:val="bullet"/>
      <w:lvlText w:val=""/>
      <w:lvlJc w:val="left"/>
      <w:pPr>
        <w:ind w:left="2904" w:hanging="360"/>
      </w:pPr>
      <w:rPr>
        <w:rFonts w:ascii="Wingdings" w:hAnsi="Wingdings" w:hint="default"/>
      </w:rPr>
    </w:lvl>
    <w:lvl w:ilvl="6" w:tplc="14090001" w:tentative="1">
      <w:start w:val="1"/>
      <w:numFmt w:val="bullet"/>
      <w:lvlText w:val=""/>
      <w:lvlJc w:val="left"/>
      <w:pPr>
        <w:ind w:left="3624" w:hanging="360"/>
      </w:pPr>
      <w:rPr>
        <w:rFonts w:ascii="Symbol" w:hAnsi="Symbol" w:hint="default"/>
      </w:rPr>
    </w:lvl>
    <w:lvl w:ilvl="7" w:tplc="14090003" w:tentative="1">
      <w:start w:val="1"/>
      <w:numFmt w:val="bullet"/>
      <w:lvlText w:val="o"/>
      <w:lvlJc w:val="left"/>
      <w:pPr>
        <w:ind w:left="4344" w:hanging="360"/>
      </w:pPr>
      <w:rPr>
        <w:rFonts w:ascii="Courier New" w:hAnsi="Courier New" w:cs="Courier New" w:hint="default"/>
      </w:rPr>
    </w:lvl>
    <w:lvl w:ilvl="8" w:tplc="14090005" w:tentative="1">
      <w:start w:val="1"/>
      <w:numFmt w:val="bullet"/>
      <w:lvlText w:val=""/>
      <w:lvlJc w:val="left"/>
      <w:pPr>
        <w:ind w:left="5064" w:hanging="360"/>
      </w:pPr>
      <w:rPr>
        <w:rFonts w:ascii="Wingdings" w:hAnsi="Wingdings" w:hint="default"/>
      </w:rPr>
    </w:lvl>
  </w:abstractNum>
  <w:abstractNum w:abstractNumId="14"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3AE3415"/>
    <w:multiLevelType w:val="multilevel"/>
    <w:tmpl w:val="7E6A3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2"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23" w15:restartNumberingAfterBreak="0">
    <w:nsid w:val="5B662620"/>
    <w:multiLevelType w:val="multilevel"/>
    <w:tmpl w:val="D400BCB2"/>
    <w:lvl w:ilvl="0">
      <w:start w:val="1"/>
      <w:numFmt w:val="bullet"/>
      <w:lvlText w:val=""/>
      <w:lvlJc w:val="left"/>
      <w:pPr>
        <w:ind w:left="357" w:hanging="357"/>
      </w:pPr>
      <w:rPr>
        <w:rFonts w:ascii="Symbol" w:hAnsi="Symbol" w:hint="default"/>
        <w:sz w:val="18"/>
      </w:rPr>
    </w:lvl>
    <w:lvl w:ilvl="1">
      <w:start w:val="1"/>
      <w:numFmt w:val="bullet"/>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6" w15:restartNumberingAfterBreak="0">
    <w:nsid w:val="615D75B9"/>
    <w:multiLevelType w:val="hybridMultilevel"/>
    <w:tmpl w:val="4FD88EE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7"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8"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9"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30"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31"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20"/>
  </w:num>
  <w:num w:numId="8">
    <w:abstractNumId w:val="24"/>
  </w:num>
  <w:num w:numId="9">
    <w:abstractNumId w:val="17"/>
  </w:num>
  <w:num w:numId="10">
    <w:abstractNumId w:val="12"/>
  </w:num>
  <w:num w:numId="11">
    <w:abstractNumId w:val="25"/>
  </w:num>
  <w:num w:numId="12">
    <w:abstractNumId w:val="28"/>
  </w:num>
  <w:num w:numId="13">
    <w:abstractNumId w:val="30"/>
  </w:num>
  <w:num w:numId="14">
    <w:abstractNumId w:val="8"/>
  </w:num>
  <w:num w:numId="15">
    <w:abstractNumId w:val="15"/>
  </w:num>
  <w:num w:numId="16">
    <w:abstractNumId w:val="31"/>
  </w:num>
  <w:num w:numId="17">
    <w:abstractNumId w:val="29"/>
  </w:num>
  <w:num w:numId="18">
    <w:abstractNumId w:val="27"/>
  </w:num>
  <w:num w:numId="19">
    <w:abstractNumId w:val="19"/>
  </w:num>
  <w:num w:numId="20">
    <w:abstractNumId w:val="16"/>
  </w:num>
  <w:num w:numId="21">
    <w:abstractNumId w:val="10"/>
  </w:num>
  <w:num w:numId="22">
    <w:abstractNumId w:val="6"/>
  </w:num>
  <w:num w:numId="23">
    <w:abstractNumId w:val="14"/>
  </w:num>
  <w:num w:numId="24">
    <w:abstractNumId w:val="9"/>
  </w:num>
  <w:num w:numId="25">
    <w:abstractNumId w:val="22"/>
  </w:num>
  <w:num w:numId="26">
    <w:abstractNumId w:val="21"/>
  </w:num>
  <w:num w:numId="27">
    <w:abstractNumId w:val="25"/>
  </w:num>
  <w:num w:numId="28">
    <w:abstractNumId w:val="28"/>
  </w:num>
  <w:num w:numId="29">
    <w:abstractNumId w:val="25"/>
  </w:num>
  <w:num w:numId="30">
    <w:abstractNumId w:val="25"/>
  </w:num>
  <w:num w:numId="31">
    <w:abstractNumId w:val="28"/>
  </w:num>
  <w:num w:numId="32">
    <w:abstractNumId w:val="28"/>
  </w:num>
  <w:num w:numId="33">
    <w:abstractNumId w:val="28"/>
  </w:num>
  <w:num w:numId="34">
    <w:abstractNumId w:val="2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1"/>
  </w:num>
  <w:num w:numId="37">
    <w:abstractNumId w:val="26"/>
  </w:num>
  <w:num w:numId="38">
    <w:abstractNumId w:val="28"/>
  </w:num>
  <w:num w:numId="39">
    <w:abstractNumId w:val="28"/>
  </w:num>
  <w:num w:numId="40">
    <w:abstractNumId w:val="23"/>
  </w:num>
  <w:num w:numId="41">
    <w:abstractNumId w:val="18"/>
  </w:num>
  <w:num w:numId="42">
    <w:abstractNumId w:val="28"/>
  </w:num>
  <w:num w:numId="43">
    <w:abstractNumId w:val="7"/>
  </w:num>
  <w:num w:numId="44">
    <w:abstractNumId w:val="28"/>
  </w:num>
  <w:num w:numId="45">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6625"/>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FB"/>
    <w:rsid w:val="00003360"/>
    <w:rsid w:val="00003FC7"/>
    <w:rsid w:val="00005919"/>
    <w:rsid w:val="00007C42"/>
    <w:rsid w:val="00010459"/>
    <w:rsid w:val="00015020"/>
    <w:rsid w:val="0001647B"/>
    <w:rsid w:val="00020010"/>
    <w:rsid w:val="000224AC"/>
    <w:rsid w:val="00031866"/>
    <w:rsid w:val="00034673"/>
    <w:rsid w:val="00036671"/>
    <w:rsid w:val="00037226"/>
    <w:rsid w:val="000409E2"/>
    <w:rsid w:val="000447F0"/>
    <w:rsid w:val="00044EA1"/>
    <w:rsid w:val="0004703F"/>
    <w:rsid w:val="00054574"/>
    <w:rsid w:val="0005649A"/>
    <w:rsid w:val="00063BB2"/>
    <w:rsid w:val="00064833"/>
    <w:rsid w:val="00065F18"/>
    <w:rsid w:val="00067005"/>
    <w:rsid w:val="00076035"/>
    <w:rsid w:val="00077013"/>
    <w:rsid w:val="0008288C"/>
    <w:rsid w:val="00087315"/>
    <w:rsid w:val="00091C3A"/>
    <w:rsid w:val="000D61F6"/>
    <w:rsid w:val="000E3240"/>
    <w:rsid w:val="000E677B"/>
    <w:rsid w:val="000F4ADF"/>
    <w:rsid w:val="000F61AF"/>
    <w:rsid w:val="0010171C"/>
    <w:rsid w:val="00102FAD"/>
    <w:rsid w:val="00105000"/>
    <w:rsid w:val="00110ADF"/>
    <w:rsid w:val="00121870"/>
    <w:rsid w:val="00126FDE"/>
    <w:rsid w:val="0013703F"/>
    <w:rsid w:val="00140ED2"/>
    <w:rsid w:val="00143E7C"/>
    <w:rsid w:val="0014415C"/>
    <w:rsid w:val="0014565E"/>
    <w:rsid w:val="001536C9"/>
    <w:rsid w:val="00156F19"/>
    <w:rsid w:val="0016433D"/>
    <w:rsid w:val="001676BD"/>
    <w:rsid w:val="001776AB"/>
    <w:rsid w:val="00184C0F"/>
    <w:rsid w:val="00187815"/>
    <w:rsid w:val="001A5F55"/>
    <w:rsid w:val="001C0031"/>
    <w:rsid w:val="001C0C30"/>
    <w:rsid w:val="001C15DF"/>
    <w:rsid w:val="001C15EE"/>
    <w:rsid w:val="001D0111"/>
    <w:rsid w:val="001D30D4"/>
    <w:rsid w:val="001D7EAE"/>
    <w:rsid w:val="001E3565"/>
    <w:rsid w:val="001E64FC"/>
    <w:rsid w:val="001F0724"/>
    <w:rsid w:val="002007DF"/>
    <w:rsid w:val="002009BC"/>
    <w:rsid w:val="00205FE8"/>
    <w:rsid w:val="00206BA3"/>
    <w:rsid w:val="002077A6"/>
    <w:rsid w:val="002130D1"/>
    <w:rsid w:val="00215160"/>
    <w:rsid w:val="002224B4"/>
    <w:rsid w:val="00226D5E"/>
    <w:rsid w:val="00237A3D"/>
    <w:rsid w:val="00240E83"/>
    <w:rsid w:val="002502D1"/>
    <w:rsid w:val="00255E1D"/>
    <w:rsid w:val="00257FB6"/>
    <w:rsid w:val="00260A17"/>
    <w:rsid w:val="0026171B"/>
    <w:rsid w:val="00265F69"/>
    <w:rsid w:val="00267EDC"/>
    <w:rsid w:val="00270EEC"/>
    <w:rsid w:val="002777D8"/>
    <w:rsid w:val="002806A2"/>
    <w:rsid w:val="00285016"/>
    <w:rsid w:val="0028551E"/>
    <w:rsid w:val="00285621"/>
    <w:rsid w:val="00294555"/>
    <w:rsid w:val="00297CC7"/>
    <w:rsid w:val="002A194F"/>
    <w:rsid w:val="002A447D"/>
    <w:rsid w:val="002A4BD9"/>
    <w:rsid w:val="002A4FE7"/>
    <w:rsid w:val="002A639F"/>
    <w:rsid w:val="002A7C19"/>
    <w:rsid w:val="002B1CEB"/>
    <w:rsid w:val="002B45B9"/>
    <w:rsid w:val="002C71C6"/>
    <w:rsid w:val="002C7C5D"/>
    <w:rsid w:val="002D3125"/>
    <w:rsid w:val="002D4F42"/>
    <w:rsid w:val="0030084C"/>
    <w:rsid w:val="00303752"/>
    <w:rsid w:val="003039E1"/>
    <w:rsid w:val="003129BA"/>
    <w:rsid w:val="003148FC"/>
    <w:rsid w:val="0032132E"/>
    <w:rsid w:val="00330820"/>
    <w:rsid w:val="00334884"/>
    <w:rsid w:val="00342249"/>
    <w:rsid w:val="003465C8"/>
    <w:rsid w:val="00353C40"/>
    <w:rsid w:val="0035412B"/>
    <w:rsid w:val="0037016B"/>
    <w:rsid w:val="00370A6A"/>
    <w:rsid w:val="00370FC0"/>
    <w:rsid w:val="00373206"/>
    <w:rsid w:val="003737ED"/>
    <w:rsid w:val="00375B80"/>
    <w:rsid w:val="00377352"/>
    <w:rsid w:val="003853B0"/>
    <w:rsid w:val="003A10DA"/>
    <w:rsid w:val="003A12C8"/>
    <w:rsid w:val="003A6FFE"/>
    <w:rsid w:val="003A7695"/>
    <w:rsid w:val="003B3A23"/>
    <w:rsid w:val="003B6592"/>
    <w:rsid w:val="003C772C"/>
    <w:rsid w:val="003D175D"/>
    <w:rsid w:val="003E624A"/>
    <w:rsid w:val="003F1357"/>
    <w:rsid w:val="003F2B58"/>
    <w:rsid w:val="003F52D2"/>
    <w:rsid w:val="003F5886"/>
    <w:rsid w:val="0040020C"/>
    <w:rsid w:val="00401CA0"/>
    <w:rsid w:val="00406CA0"/>
    <w:rsid w:val="0040700B"/>
    <w:rsid w:val="00407F54"/>
    <w:rsid w:val="00411341"/>
    <w:rsid w:val="0041178D"/>
    <w:rsid w:val="00413966"/>
    <w:rsid w:val="00415015"/>
    <w:rsid w:val="00415CDB"/>
    <w:rsid w:val="004231DC"/>
    <w:rsid w:val="00423E37"/>
    <w:rsid w:val="0042551E"/>
    <w:rsid w:val="00433AD8"/>
    <w:rsid w:val="00437A53"/>
    <w:rsid w:val="004453A5"/>
    <w:rsid w:val="004500F6"/>
    <w:rsid w:val="00453635"/>
    <w:rsid w:val="004552A0"/>
    <w:rsid w:val="00457145"/>
    <w:rsid w:val="00457E34"/>
    <w:rsid w:val="00460A83"/>
    <w:rsid w:val="00460B3F"/>
    <w:rsid w:val="00462D05"/>
    <w:rsid w:val="00464752"/>
    <w:rsid w:val="0046587F"/>
    <w:rsid w:val="00472A55"/>
    <w:rsid w:val="00476068"/>
    <w:rsid w:val="004763B3"/>
    <w:rsid w:val="00477619"/>
    <w:rsid w:val="00486E6E"/>
    <w:rsid w:val="004875DF"/>
    <w:rsid w:val="00487C1D"/>
    <w:rsid w:val="00493EC9"/>
    <w:rsid w:val="00494C6F"/>
    <w:rsid w:val="004A5823"/>
    <w:rsid w:val="004B0AAF"/>
    <w:rsid w:val="004B1529"/>
    <w:rsid w:val="004B214C"/>
    <w:rsid w:val="004B3924"/>
    <w:rsid w:val="004B702E"/>
    <w:rsid w:val="004C3E9B"/>
    <w:rsid w:val="004C4DDD"/>
    <w:rsid w:val="004C5F40"/>
    <w:rsid w:val="004C67E0"/>
    <w:rsid w:val="004C6939"/>
    <w:rsid w:val="004C6953"/>
    <w:rsid w:val="004C7001"/>
    <w:rsid w:val="004D1706"/>
    <w:rsid w:val="004D243F"/>
    <w:rsid w:val="004D7473"/>
    <w:rsid w:val="004E30C1"/>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1755"/>
    <w:rsid w:val="0058206B"/>
    <w:rsid w:val="005848D3"/>
    <w:rsid w:val="00585690"/>
    <w:rsid w:val="00594AAA"/>
    <w:rsid w:val="00595B33"/>
    <w:rsid w:val="0059662F"/>
    <w:rsid w:val="005A2652"/>
    <w:rsid w:val="005B193F"/>
    <w:rsid w:val="005B7254"/>
    <w:rsid w:val="005C0A11"/>
    <w:rsid w:val="005D3066"/>
    <w:rsid w:val="005D6013"/>
    <w:rsid w:val="005E141C"/>
    <w:rsid w:val="005E4B13"/>
    <w:rsid w:val="005E4C02"/>
    <w:rsid w:val="005F01DF"/>
    <w:rsid w:val="005F3820"/>
    <w:rsid w:val="005F649D"/>
    <w:rsid w:val="005F76CC"/>
    <w:rsid w:val="005F7FE0"/>
    <w:rsid w:val="005F7FF8"/>
    <w:rsid w:val="006004C4"/>
    <w:rsid w:val="00600CA4"/>
    <w:rsid w:val="00602416"/>
    <w:rsid w:val="006025CE"/>
    <w:rsid w:val="006041F2"/>
    <w:rsid w:val="006064F5"/>
    <w:rsid w:val="00617298"/>
    <w:rsid w:val="0062731F"/>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972CE"/>
    <w:rsid w:val="006A1A95"/>
    <w:rsid w:val="006A38B7"/>
    <w:rsid w:val="006A5C31"/>
    <w:rsid w:val="006B1CB2"/>
    <w:rsid w:val="006B1DD1"/>
    <w:rsid w:val="006B2693"/>
    <w:rsid w:val="006B3396"/>
    <w:rsid w:val="006B4FE7"/>
    <w:rsid w:val="006B60A5"/>
    <w:rsid w:val="006C195E"/>
    <w:rsid w:val="006D638F"/>
    <w:rsid w:val="006D7384"/>
    <w:rsid w:val="006E7BF7"/>
    <w:rsid w:val="006F4DB5"/>
    <w:rsid w:val="00702F2C"/>
    <w:rsid w:val="007068C8"/>
    <w:rsid w:val="00715B8F"/>
    <w:rsid w:val="007225E1"/>
    <w:rsid w:val="0073106E"/>
    <w:rsid w:val="00737813"/>
    <w:rsid w:val="0074093D"/>
    <w:rsid w:val="00755142"/>
    <w:rsid w:val="00756BB7"/>
    <w:rsid w:val="0075764B"/>
    <w:rsid w:val="00760C01"/>
    <w:rsid w:val="0076128F"/>
    <w:rsid w:val="00761293"/>
    <w:rsid w:val="00767C04"/>
    <w:rsid w:val="007736A2"/>
    <w:rsid w:val="00775563"/>
    <w:rsid w:val="00795E28"/>
    <w:rsid w:val="007A6226"/>
    <w:rsid w:val="007B3C61"/>
    <w:rsid w:val="007B60ED"/>
    <w:rsid w:val="007C6533"/>
    <w:rsid w:val="007D1918"/>
    <w:rsid w:val="007E6CEB"/>
    <w:rsid w:val="007F03F2"/>
    <w:rsid w:val="007F4C31"/>
    <w:rsid w:val="008023C3"/>
    <w:rsid w:val="008031DF"/>
    <w:rsid w:val="008065D7"/>
    <w:rsid w:val="00806D65"/>
    <w:rsid w:val="008111A3"/>
    <w:rsid w:val="00816E30"/>
    <w:rsid w:val="0081703A"/>
    <w:rsid w:val="00820EC3"/>
    <w:rsid w:val="0082264B"/>
    <w:rsid w:val="0082765B"/>
    <w:rsid w:val="00831AF8"/>
    <w:rsid w:val="008352B1"/>
    <w:rsid w:val="008353E7"/>
    <w:rsid w:val="00835BD7"/>
    <w:rsid w:val="00836DA7"/>
    <w:rsid w:val="008428E8"/>
    <w:rsid w:val="00843D71"/>
    <w:rsid w:val="00845422"/>
    <w:rsid w:val="00846F11"/>
    <w:rsid w:val="0084745A"/>
    <w:rsid w:val="00857593"/>
    <w:rsid w:val="00870045"/>
    <w:rsid w:val="00876E5F"/>
    <w:rsid w:val="00877819"/>
    <w:rsid w:val="00884A12"/>
    <w:rsid w:val="00890CE4"/>
    <w:rsid w:val="00891ED7"/>
    <w:rsid w:val="00896C65"/>
    <w:rsid w:val="008A2DD0"/>
    <w:rsid w:val="008B7B54"/>
    <w:rsid w:val="008C3187"/>
    <w:rsid w:val="008C4A9E"/>
    <w:rsid w:val="008C5E4F"/>
    <w:rsid w:val="008D63B7"/>
    <w:rsid w:val="008D6A03"/>
    <w:rsid w:val="008D6CA7"/>
    <w:rsid w:val="008E508C"/>
    <w:rsid w:val="008E7FEE"/>
    <w:rsid w:val="008F2F06"/>
    <w:rsid w:val="008F31F5"/>
    <w:rsid w:val="008F4793"/>
    <w:rsid w:val="008F67F5"/>
    <w:rsid w:val="008F6BCE"/>
    <w:rsid w:val="00900D4B"/>
    <w:rsid w:val="009056EB"/>
    <w:rsid w:val="00905F9B"/>
    <w:rsid w:val="00913E95"/>
    <w:rsid w:val="009170B9"/>
    <w:rsid w:val="00923265"/>
    <w:rsid w:val="00923A87"/>
    <w:rsid w:val="00927482"/>
    <w:rsid w:val="009360F9"/>
    <w:rsid w:val="00936FF5"/>
    <w:rsid w:val="0094654B"/>
    <w:rsid w:val="00947681"/>
    <w:rsid w:val="0095112B"/>
    <w:rsid w:val="00952122"/>
    <w:rsid w:val="0095712A"/>
    <w:rsid w:val="009576D4"/>
    <w:rsid w:val="0097203A"/>
    <w:rsid w:val="00973A6D"/>
    <w:rsid w:val="00977A8B"/>
    <w:rsid w:val="009804E0"/>
    <w:rsid w:val="00983735"/>
    <w:rsid w:val="009865AA"/>
    <w:rsid w:val="00987080"/>
    <w:rsid w:val="0098765A"/>
    <w:rsid w:val="00987E5B"/>
    <w:rsid w:val="00991620"/>
    <w:rsid w:val="00995351"/>
    <w:rsid w:val="009968B0"/>
    <w:rsid w:val="009A6CB2"/>
    <w:rsid w:val="009B0982"/>
    <w:rsid w:val="009B4C99"/>
    <w:rsid w:val="009C13FB"/>
    <w:rsid w:val="009C42A8"/>
    <w:rsid w:val="009D28CF"/>
    <w:rsid w:val="009D546F"/>
    <w:rsid w:val="009D598F"/>
    <w:rsid w:val="009E166E"/>
    <w:rsid w:val="009E351A"/>
    <w:rsid w:val="009E40D1"/>
    <w:rsid w:val="009E5D36"/>
    <w:rsid w:val="009E6375"/>
    <w:rsid w:val="009E7CA0"/>
    <w:rsid w:val="009F3915"/>
    <w:rsid w:val="00A04392"/>
    <w:rsid w:val="00A069CE"/>
    <w:rsid w:val="00A07A83"/>
    <w:rsid w:val="00A109D8"/>
    <w:rsid w:val="00A12E07"/>
    <w:rsid w:val="00A16003"/>
    <w:rsid w:val="00A167D7"/>
    <w:rsid w:val="00A23D39"/>
    <w:rsid w:val="00A23EC2"/>
    <w:rsid w:val="00A24FBB"/>
    <w:rsid w:val="00A327C2"/>
    <w:rsid w:val="00A332E8"/>
    <w:rsid w:val="00A3453E"/>
    <w:rsid w:val="00A42ED2"/>
    <w:rsid w:val="00A44B33"/>
    <w:rsid w:val="00A50E00"/>
    <w:rsid w:val="00A52529"/>
    <w:rsid w:val="00A52FA2"/>
    <w:rsid w:val="00A53624"/>
    <w:rsid w:val="00A55EAF"/>
    <w:rsid w:val="00A5766B"/>
    <w:rsid w:val="00A70197"/>
    <w:rsid w:val="00A77512"/>
    <w:rsid w:val="00A863E3"/>
    <w:rsid w:val="00A87187"/>
    <w:rsid w:val="00A901D1"/>
    <w:rsid w:val="00A94161"/>
    <w:rsid w:val="00A97BFB"/>
    <w:rsid w:val="00AB0BBC"/>
    <w:rsid w:val="00AB3A92"/>
    <w:rsid w:val="00AB478B"/>
    <w:rsid w:val="00AB47AC"/>
    <w:rsid w:val="00AB4AAE"/>
    <w:rsid w:val="00AB4AD9"/>
    <w:rsid w:val="00AB5D16"/>
    <w:rsid w:val="00AC5815"/>
    <w:rsid w:val="00AD6E77"/>
    <w:rsid w:val="00AD7A25"/>
    <w:rsid w:val="00AD7BF3"/>
    <w:rsid w:val="00AE0B2B"/>
    <w:rsid w:val="00AE2666"/>
    <w:rsid w:val="00AF3A5A"/>
    <w:rsid w:val="00AF3E15"/>
    <w:rsid w:val="00AF5218"/>
    <w:rsid w:val="00AF60A0"/>
    <w:rsid w:val="00B03011"/>
    <w:rsid w:val="00B038F2"/>
    <w:rsid w:val="00B0480E"/>
    <w:rsid w:val="00B1026A"/>
    <w:rsid w:val="00B10BC8"/>
    <w:rsid w:val="00B119D9"/>
    <w:rsid w:val="00B21166"/>
    <w:rsid w:val="00B263AE"/>
    <w:rsid w:val="00B31FFB"/>
    <w:rsid w:val="00B33A6C"/>
    <w:rsid w:val="00B42F17"/>
    <w:rsid w:val="00B43A02"/>
    <w:rsid w:val="00B43BC3"/>
    <w:rsid w:val="00B44D5E"/>
    <w:rsid w:val="00B47091"/>
    <w:rsid w:val="00B508D4"/>
    <w:rsid w:val="00B54416"/>
    <w:rsid w:val="00B56534"/>
    <w:rsid w:val="00B57A21"/>
    <w:rsid w:val="00B62C3E"/>
    <w:rsid w:val="00B645DE"/>
    <w:rsid w:val="00B65857"/>
    <w:rsid w:val="00B66698"/>
    <w:rsid w:val="00B7059B"/>
    <w:rsid w:val="00B745DC"/>
    <w:rsid w:val="00B84350"/>
    <w:rsid w:val="00B855A6"/>
    <w:rsid w:val="00B90EE6"/>
    <w:rsid w:val="00B91098"/>
    <w:rsid w:val="00B91904"/>
    <w:rsid w:val="00B92735"/>
    <w:rsid w:val="00B969ED"/>
    <w:rsid w:val="00BA706A"/>
    <w:rsid w:val="00BA77F1"/>
    <w:rsid w:val="00BB0D90"/>
    <w:rsid w:val="00BB3B51"/>
    <w:rsid w:val="00BB60C6"/>
    <w:rsid w:val="00BB7984"/>
    <w:rsid w:val="00BC061C"/>
    <w:rsid w:val="00BC45F7"/>
    <w:rsid w:val="00BC6A06"/>
    <w:rsid w:val="00BD137C"/>
    <w:rsid w:val="00BE3BC7"/>
    <w:rsid w:val="00BF0C5F"/>
    <w:rsid w:val="00BF1AB7"/>
    <w:rsid w:val="00BF7FE9"/>
    <w:rsid w:val="00C03596"/>
    <w:rsid w:val="00C05EEC"/>
    <w:rsid w:val="00C15A13"/>
    <w:rsid w:val="00C238D9"/>
    <w:rsid w:val="00C24A9D"/>
    <w:rsid w:val="00C2677E"/>
    <w:rsid w:val="00C31542"/>
    <w:rsid w:val="00C32604"/>
    <w:rsid w:val="00C45FE4"/>
    <w:rsid w:val="00C5028E"/>
    <w:rsid w:val="00C54AC8"/>
    <w:rsid w:val="00C54E78"/>
    <w:rsid w:val="00C6078D"/>
    <w:rsid w:val="00C657CF"/>
    <w:rsid w:val="00C80408"/>
    <w:rsid w:val="00C80D62"/>
    <w:rsid w:val="00C8388B"/>
    <w:rsid w:val="00C84944"/>
    <w:rsid w:val="00C90217"/>
    <w:rsid w:val="00C96BFD"/>
    <w:rsid w:val="00C96C98"/>
    <w:rsid w:val="00CA5358"/>
    <w:rsid w:val="00CA6047"/>
    <w:rsid w:val="00CA704C"/>
    <w:rsid w:val="00CB1DCA"/>
    <w:rsid w:val="00CD502A"/>
    <w:rsid w:val="00CF0C77"/>
    <w:rsid w:val="00CF12CF"/>
    <w:rsid w:val="00CF4BE3"/>
    <w:rsid w:val="00D00081"/>
    <w:rsid w:val="00D060D2"/>
    <w:rsid w:val="00D13E2D"/>
    <w:rsid w:val="00D14394"/>
    <w:rsid w:val="00D242CD"/>
    <w:rsid w:val="00D26F74"/>
    <w:rsid w:val="00D341C3"/>
    <w:rsid w:val="00D42843"/>
    <w:rsid w:val="00D43F10"/>
    <w:rsid w:val="00D5152A"/>
    <w:rsid w:val="00D560EB"/>
    <w:rsid w:val="00D65145"/>
    <w:rsid w:val="00D73D87"/>
    <w:rsid w:val="00D74314"/>
    <w:rsid w:val="00D80F6C"/>
    <w:rsid w:val="00D81410"/>
    <w:rsid w:val="00D85023"/>
    <w:rsid w:val="00D92505"/>
    <w:rsid w:val="00D92909"/>
    <w:rsid w:val="00DA267C"/>
    <w:rsid w:val="00DA27B3"/>
    <w:rsid w:val="00DA5101"/>
    <w:rsid w:val="00DA62E8"/>
    <w:rsid w:val="00DA79EF"/>
    <w:rsid w:val="00DB0C0B"/>
    <w:rsid w:val="00DB3B74"/>
    <w:rsid w:val="00DC0097"/>
    <w:rsid w:val="00DC5870"/>
    <w:rsid w:val="00DC793B"/>
    <w:rsid w:val="00DD0384"/>
    <w:rsid w:val="00DD0901"/>
    <w:rsid w:val="00DD4AB0"/>
    <w:rsid w:val="00DE16B6"/>
    <w:rsid w:val="00DE3323"/>
    <w:rsid w:val="00DE36CA"/>
    <w:rsid w:val="00DE7E63"/>
    <w:rsid w:val="00DF1155"/>
    <w:rsid w:val="00DF316E"/>
    <w:rsid w:val="00DF319B"/>
    <w:rsid w:val="00DF5AA8"/>
    <w:rsid w:val="00DF77A2"/>
    <w:rsid w:val="00E14737"/>
    <w:rsid w:val="00E20863"/>
    <w:rsid w:val="00E25650"/>
    <w:rsid w:val="00E367C5"/>
    <w:rsid w:val="00E37E71"/>
    <w:rsid w:val="00E42486"/>
    <w:rsid w:val="00E42847"/>
    <w:rsid w:val="00E45862"/>
    <w:rsid w:val="00E45CBF"/>
    <w:rsid w:val="00E46064"/>
    <w:rsid w:val="00E54B26"/>
    <w:rsid w:val="00E604A1"/>
    <w:rsid w:val="00E65033"/>
    <w:rsid w:val="00E7293C"/>
    <w:rsid w:val="00E73AA8"/>
    <w:rsid w:val="00E76812"/>
    <w:rsid w:val="00E80228"/>
    <w:rsid w:val="00E86D2A"/>
    <w:rsid w:val="00E8711A"/>
    <w:rsid w:val="00E96FDC"/>
    <w:rsid w:val="00EA2ED4"/>
    <w:rsid w:val="00EA491A"/>
    <w:rsid w:val="00EA6AD8"/>
    <w:rsid w:val="00EB1583"/>
    <w:rsid w:val="00EB54A9"/>
    <w:rsid w:val="00EB7E53"/>
    <w:rsid w:val="00EC23FB"/>
    <w:rsid w:val="00EC7017"/>
    <w:rsid w:val="00ED0D33"/>
    <w:rsid w:val="00ED2F49"/>
    <w:rsid w:val="00ED4356"/>
    <w:rsid w:val="00ED7681"/>
    <w:rsid w:val="00EE243C"/>
    <w:rsid w:val="00EF1C4F"/>
    <w:rsid w:val="00EF42F8"/>
    <w:rsid w:val="00EF63C6"/>
    <w:rsid w:val="00F034FB"/>
    <w:rsid w:val="00F05606"/>
    <w:rsid w:val="00F105F5"/>
    <w:rsid w:val="00F1075A"/>
    <w:rsid w:val="00F145B9"/>
    <w:rsid w:val="00F17B33"/>
    <w:rsid w:val="00F22E82"/>
    <w:rsid w:val="00F2483A"/>
    <w:rsid w:val="00F26B4E"/>
    <w:rsid w:val="00F337BF"/>
    <w:rsid w:val="00F33D14"/>
    <w:rsid w:val="00F473B6"/>
    <w:rsid w:val="00F47941"/>
    <w:rsid w:val="00F52E57"/>
    <w:rsid w:val="00F53E06"/>
    <w:rsid w:val="00F54188"/>
    <w:rsid w:val="00F54CC0"/>
    <w:rsid w:val="00F727A5"/>
    <w:rsid w:val="00F74990"/>
    <w:rsid w:val="00F74C2B"/>
    <w:rsid w:val="00F847A9"/>
    <w:rsid w:val="00FA5909"/>
    <w:rsid w:val="00FA5FE9"/>
    <w:rsid w:val="00FA67D2"/>
    <w:rsid w:val="00FB1990"/>
    <w:rsid w:val="00FB302F"/>
    <w:rsid w:val="00FB5A92"/>
    <w:rsid w:val="00FC1C69"/>
    <w:rsid w:val="00FC3739"/>
    <w:rsid w:val="00FE067B"/>
    <w:rsid w:val="00FE5AD9"/>
    <w:rsid w:val="00FE7241"/>
    <w:rsid w:val="00FE72F7"/>
    <w:rsid w:val="00FE7A33"/>
    <w:rsid w:val="00FF3414"/>
    <w:rsid w:val="576A729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3F46E477"/>
  <w15:docId w15:val="{2AF3AA0A-23DA-4E8B-975B-B48F3F0DC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rsid w:val="00065F18"/>
    <w:pPr>
      <w:numPr>
        <w:ilvl w:val="1"/>
        <w:numId w:val="12"/>
      </w:numPr>
    </w:pPr>
  </w:style>
  <w:style w:type="paragraph" w:customStyle="1" w:styleId="TableBulletListLevel3">
    <w:name w:val="Table Bullet List Level 3"/>
    <w:basedOn w:val="BodyTextTable"/>
    <w:uiPriority w:val="11"/>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qFormat/>
    <w:rsid w:val="00065F18"/>
    <w:pPr>
      <w:numPr>
        <w:numId w:val="20"/>
      </w:numPr>
    </w:pPr>
  </w:style>
  <w:style w:type="paragraph" w:customStyle="1" w:styleId="Numberedpara2level2a">
    <w:name w:val="Numbered para (2) level 2 (a)"/>
    <w:basedOn w:val="Normal"/>
    <w:qFormat/>
    <w:rsid w:val="00065F18"/>
    <w:pPr>
      <w:numPr>
        <w:ilvl w:val="1"/>
        <w:numId w:val="20"/>
      </w:numPr>
    </w:pPr>
  </w:style>
  <w:style w:type="paragraph" w:customStyle="1" w:styleId="Numberedpara2level3i">
    <w:name w:val="Numbered para (2) level 3 (i)"/>
    <w:basedOn w:val="Normal"/>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rsid w:val="00F17B33"/>
    <w:pPr>
      <w:keepLines/>
      <w:spacing w:after="240"/>
    </w:pPr>
    <w:rPr>
      <w:sz w:val="20"/>
      <w:szCs w:val="20"/>
    </w:rPr>
  </w:style>
  <w:style w:type="character" w:customStyle="1" w:styleId="CommentTextChar">
    <w:name w:val="Comment Text Char"/>
    <w:basedOn w:val="DefaultParagraphFont"/>
    <w:link w:val="CommentText"/>
    <w:uiPriority w:val="99"/>
    <w:semiHidden/>
    <w:rsid w:val="00F17B33"/>
    <w:rPr>
      <w:sz w:val="20"/>
      <w:szCs w:val="20"/>
      <w:lang w:eastAsia="en-US"/>
    </w:rPr>
  </w:style>
  <w:style w:type="paragraph" w:styleId="CommentSubject">
    <w:name w:val="annotation subject"/>
    <w:basedOn w:val="CommentText"/>
    <w:next w:val="CommentText"/>
    <w:link w:val="CommentSubjectChar"/>
    <w:uiPriority w:val="99"/>
    <w:semiHidden/>
    <w:unhideWhenUsed/>
    <w:rsid w:val="00C54AC8"/>
    <w:pPr>
      <w:keepLines w:val="0"/>
      <w:spacing w:after="120"/>
    </w:pPr>
    <w:rPr>
      <w:b/>
      <w:bCs/>
    </w:rPr>
  </w:style>
  <w:style w:type="character" w:customStyle="1" w:styleId="CommentSubjectChar">
    <w:name w:val="Comment Subject Char"/>
    <w:basedOn w:val="CommentTextChar"/>
    <w:link w:val="CommentSubject"/>
    <w:uiPriority w:val="99"/>
    <w:semiHidden/>
    <w:rsid w:val="00C54AC8"/>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836404">
      <w:bodyDiv w:val="1"/>
      <w:marLeft w:val="0"/>
      <w:marRight w:val="0"/>
      <w:marTop w:val="0"/>
      <w:marBottom w:val="0"/>
      <w:divBdr>
        <w:top w:val="none" w:sz="0" w:space="0" w:color="auto"/>
        <w:left w:val="none" w:sz="0" w:space="0" w:color="auto"/>
        <w:bottom w:val="none" w:sz="0" w:space="0" w:color="auto"/>
        <w:right w:val="none" w:sz="0" w:space="0" w:color="auto"/>
      </w:divBdr>
    </w:div>
    <w:div w:id="1979727725">
      <w:bodyDiv w:val="1"/>
      <w:marLeft w:val="0"/>
      <w:marRight w:val="0"/>
      <w:marTop w:val="0"/>
      <w:marBottom w:val="0"/>
      <w:divBdr>
        <w:top w:val="none" w:sz="0" w:space="0" w:color="auto"/>
        <w:left w:val="none" w:sz="0" w:space="0" w:color="auto"/>
        <w:bottom w:val="none" w:sz="0" w:space="0" w:color="auto"/>
        <w:right w:val="none" w:sz="0" w:space="0" w:color="auto"/>
      </w:divBdr>
      <w:divsChild>
        <w:div w:id="1675376590">
          <w:marLeft w:val="0"/>
          <w:marRight w:val="0"/>
          <w:marTop w:val="0"/>
          <w:marBottom w:val="0"/>
          <w:divBdr>
            <w:top w:val="none" w:sz="0" w:space="0" w:color="auto"/>
            <w:left w:val="none" w:sz="0" w:space="0" w:color="auto"/>
            <w:bottom w:val="none" w:sz="0" w:space="0" w:color="auto"/>
            <w:right w:val="none" w:sz="0" w:space="0" w:color="auto"/>
          </w:divBdr>
          <w:divsChild>
            <w:div w:id="719793114">
              <w:marLeft w:val="20"/>
              <w:marRight w:val="0"/>
              <w:marTop w:val="288"/>
              <w:marBottom w:val="0"/>
              <w:divBdr>
                <w:top w:val="none" w:sz="0" w:space="0" w:color="auto"/>
                <w:left w:val="none" w:sz="0" w:space="0" w:color="auto"/>
                <w:bottom w:val="none" w:sz="0" w:space="0" w:color="auto"/>
                <w:right w:val="none" w:sz="0" w:space="0" w:color="auto"/>
              </w:divBdr>
              <w:divsChild>
                <w:div w:id="2023242504">
                  <w:marLeft w:val="0"/>
                  <w:marRight w:val="0"/>
                  <w:marTop w:val="0"/>
                  <w:marBottom w:val="0"/>
                  <w:divBdr>
                    <w:top w:val="none" w:sz="0" w:space="0" w:color="auto"/>
                    <w:left w:val="none" w:sz="0" w:space="0" w:color="auto"/>
                    <w:bottom w:val="none" w:sz="0" w:space="0" w:color="auto"/>
                    <w:right w:val="none" w:sz="0" w:space="0" w:color="auto"/>
                  </w:divBdr>
                  <w:divsChild>
                    <w:div w:id="190830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ia.govt.nz/diawebsite.nsf/Files/DIA_Profile_Senior_Leader_v7/$file/DIA_Profile_Senior_Leader_v7.pdf"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CB287B8D3F7ECD4E805B51557D9DBE9E" ma:contentTypeVersion="6" ma:contentTypeDescription="Use for any document related to a job description" ma:contentTypeScope="" ma:versionID="d1c72733e6ae15be0dbb4ad2e5fb0271">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67e47ad0f45dfdbd667b5503e1280c20"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f0fdd756e0484c409e9468eddc974ab0" minOccurs="0"/>
                <xsd:element ref="ns4:b4e599394e5a49b2b73defab99f3cfa7" minOccurs="0"/>
                <xsd:element ref="ns4:DIAJobDescription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descriptio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default="292;#Service and System Transformation (SST)|2cdb41dd-33af-4c94-9b16-bf8224232b8d"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f0fdd756e0484c409e9468eddc974ab0" ma:index="22"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6c3f23b8-b3b0-40af-8b71-693997d2e49b" ma:open="false" ma:isKeyword="false">
      <xsd:complexType>
        <xsd:sequence>
          <xsd:element ref="pc:Terms" minOccurs="0" maxOccurs="1"/>
        </xsd:sequence>
      </xsd:complexType>
    </xsd:element>
    <xsd:element name="b4e599394e5a49b2b73defab99f3cfa7" ma:index="24"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6c3f23b8-b3b0-40af-8b71-693997d2e49b" ma:open="false" ma:isKeyword="false">
      <xsd:complexType>
        <xsd:sequence>
          <xsd:element ref="pc:Terms" minOccurs="0" maxOccurs="1"/>
        </xsd:sequence>
      </xsd:complexType>
    </xsd:element>
    <xsd:element name="DIAJobDescriptionStatus" ma:index="26" nillable="true" ma:displayName="Job Description Status" ma:description="Use to identify the job description status" ma:indexed="true" ma:internalName="DIAJobDescriptionStatus">
      <xsd:simpleType>
        <xsd:restriction base="dms:Choice">
          <xsd:enumeration value="​Active"/>
          <xsd:enumeration value="Draft"/>
          <xsd:enumeration value="Retir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TaxCatchAll xmlns="ce404f2c-b0eb-493e-ac64-5bd3de555ba4">
      <Value>292</Value>
      <Value>4</Value>
      <Value>2283</Value>
      <Value>1</Value>
    </TaxCatchAll>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Planning, Performance and Support</TermName>
          <TermId xmlns="http://schemas.microsoft.com/office/infopath/2007/PartnerControls">eafeb9cf-01be-4a96-bb0a-7de703a51d2e</TermId>
        </TermInfo>
      </Terms>
    </f0fdd756e0484c409e9468eddc974ab0>
    <DIAJobDescriptionStatus xmlns="ce404f2c-b0eb-493e-ac64-5bd3de555ba4">​Active</DIAJobDescriptionStatus>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b485a316fabc404884ec1dd50da393e7>
    <TaxKeywordTaxHTField xmlns="ce404f2c-b0eb-493e-ac64-5bd3de555ba4">
      <Terms xmlns="http://schemas.microsoft.com/office/infopath/2007/PartnerControls"/>
    </TaxKeywordTaxHTField>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Digital Public Service (DPS)</TermName>
          <TermId xmlns="http://schemas.microsoft.com/office/infopath/2007/PartnerControls">2cdb41dd-33af-4c94-9b16-bf8224232b8d</TermId>
        </TermInfo>
      </Terms>
    </bd91311754d44584aa154213d89a7877>
    <b4e599394e5a49b2b73defab99f3cfa7 xmlns="ce404f2c-b0eb-493e-ac64-5bd3de555ba4">
      <Terms xmlns="http://schemas.microsoft.com/office/infopath/2007/PartnerControls"/>
    </b4e599394e5a49b2b73defab99f3cfa7>
    <_dlc_DocId xmlns="ce404f2c-b0eb-493e-ac64-5bd3de555ba4">4V7JHWUKMACF-1064553394-378</_dlc_DocId>
    <_dlc_DocIdUrl xmlns="ce404f2c-b0eb-493e-ac64-5bd3de555ba4">
      <Url>https://dia.cohesion.net.nz/Sites/PEO/JDE/JDS/_layouts/15/DocIdRedir.aspx?ID=4V7JHWUKMACF-1064553394-378</Url>
      <Description>4V7JHWUKMACF-1064553394-378</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B11E7-78D4-4F9A-8CC9-2B2B956A28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3A72C5-649A-45BA-8F2B-E40F1218C985}">
  <ds:schemaRefs>
    <ds:schemaRef ds:uri="http://schemas.microsoft.com/sharepoint/v3/contenttype/forms"/>
  </ds:schemaRefs>
</ds:datastoreItem>
</file>

<file path=customXml/itemProps3.xml><?xml version="1.0" encoding="utf-8"?>
<ds:datastoreItem xmlns:ds="http://schemas.openxmlformats.org/officeDocument/2006/customXml" ds:itemID="{356A4D9A-0776-4EFB-8DFF-091A41369D9E}">
  <ds:schemaRefs>
    <ds:schemaRef ds:uri="http://schemas.microsoft.com/sharepoint/events"/>
  </ds:schemaRefs>
</ds:datastoreItem>
</file>

<file path=customXml/itemProps4.xml><?xml version="1.0" encoding="utf-8"?>
<ds:datastoreItem xmlns:ds="http://schemas.openxmlformats.org/officeDocument/2006/customXml" ds:itemID="{343ACEF7-9B23-43F4-8858-674FAEF80D5E}">
  <ds:schemaRefs>
    <ds:schemaRef ds:uri="http://schemas.microsoft.com/office/infopath/2007/PartnerControls"/>
    <ds:schemaRef ds:uri="http://purl.org/dc/elements/1.1/"/>
    <ds:schemaRef ds:uri="http://schemas.microsoft.com/office/2006/metadata/properties"/>
    <ds:schemaRef ds:uri="ce404f2c-b0eb-493e-ac64-5bd3de555ba4"/>
    <ds:schemaRef ds:uri="http://purl.org/dc/terms/"/>
    <ds:schemaRef ds:uri="http://schemas.openxmlformats.org/package/2006/metadata/core-properties"/>
    <ds:schemaRef ds:uri="http://schemas.microsoft.com/office/2006/documentManagement/types"/>
    <ds:schemaRef ds:uri="01be4277-2979-4a68-876d-b92b25fceece"/>
    <ds:schemaRef ds:uri="http://www.w3.org/XML/1998/namespace"/>
    <ds:schemaRef ds:uri="http://purl.org/dc/dcmitype/"/>
  </ds:schemaRefs>
</ds:datastoreItem>
</file>

<file path=customXml/itemProps5.xml><?xml version="1.0" encoding="utf-8"?>
<ds:datastoreItem xmlns:ds="http://schemas.openxmlformats.org/officeDocument/2006/customXml" ds:itemID="{8A8448D4-EDD0-4B9C-BFD6-01B974A6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2013</Words>
  <Characters>11977</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13963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Finlayson</dc:creator>
  <cp:keywords/>
  <cp:lastModifiedBy>Ben Shields</cp:lastModifiedBy>
  <cp:revision>3</cp:revision>
  <cp:lastPrinted>2019-09-15T23:09:00Z</cp:lastPrinted>
  <dcterms:created xsi:type="dcterms:W3CDTF">2021-01-21T22:05:00Z</dcterms:created>
  <dcterms:modified xsi:type="dcterms:W3CDTF">2021-02-01T03:50:00Z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0x0101005496552013C0BA46BE88192D5C6EB20B0031F30CFD6B2244409318FB656FECFFE800CB287B8D3F7ECD4E805B51557D9DBE9E</vt:lpwstr>
  </property>
  <property fmtid="{D5CDD505-2E9C-101B-9397-08002B2CF9AE}" pid="3" name="DIABusinessUnit">
    <vt:lpwstr/>
  </property>
  <property fmtid="{D5CDD505-2E9C-101B-9397-08002B2CF9AE}" pid="4" name="if0041076d304ad8ac7b8136078c79a0">
    <vt:lpwstr>Correspondence|dcd6b05f-dc80-4336-b228-09aebf3d212c</vt:lpwstr>
  </property>
  <property fmtid="{D5CDD505-2E9C-101B-9397-08002B2CF9AE}" pid="5" name="DIABranch">
    <vt:lpwstr>292;#Digital Public Service (DPS)|2cdb41dd-33af-4c94-9b16-bf8224232b8d</vt:lpwstr>
  </property>
  <property fmtid="{D5CDD505-2E9C-101B-9397-08002B2CF9AE}" pid="6" name="DIABusinessGroup">
    <vt:lpwstr>2283;#Planning, Performance and Support|eafeb9cf-01be-4a96-bb0a-7de703a51d2e</vt:lpwstr>
  </property>
  <property fmtid="{D5CDD505-2E9C-101B-9397-08002B2CF9AE}" pid="7" name="_dlc_DocIdItemGuid">
    <vt:lpwstr>88ec17e5-dec9-40d1-b381-1cac504e9bd2</vt:lpwstr>
  </property>
  <property fmtid="{D5CDD505-2E9C-101B-9397-08002B2CF9AE}" pid="8" name="TaxKeyword">
    <vt:lpwstr/>
  </property>
  <property fmtid="{D5CDD505-2E9C-101B-9397-08002B2CF9AE}" pid="9" name="DIAAdministrationDocumentType">
    <vt:lpwstr/>
  </property>
  <property fmtid="{D5CDD505-2E9C-101B-9397-08002B2CF9AE}" pid="10" name="fa525ba192404975a66fed9c22b2ead5">
    <vt:lpwstr/>
  </property>
  <property fmtid="{D5CDD505-2E9C-101B-9397-08002B2CF9AE}" pid="11" name="k637144f3e274b809739df325940a5b6">
    <vt:lpwstr/>
  </property>
  <property fmtid="{D5CDD505-2E9C-101B-9397-08002B2CF9AE}" pid="12" name="C3Topic">
    <vt:lpwstr/>
  </property>
  <property fmtid="{D5CDD505-2E9C-101B-9397-08002B2CF9AE}" pid="13" name="DIASecurityClassification">
    <vt:lpwstr>1;#UNCLASSIFIED|875d92a8-67e2-4a32-9472-8fe99549e1eb</vt:lpwstr>
  </property>
  <property fmtid="{D5CDD505-2E9C-101B-9397-08002B2CF9AE}" pid="14" name="DIAEmailContentType">
    <vt:lpwstr>4;#Correspondence|dcd6b05f-dc80-4336-b228-09aebf3d212c</vt:lpwstr>
  </property>
  <property fmtid="{D5CDD505-2E9C-101B-9397-08002B2CF9AE}" pid="15" name="DIAMeetingDocumentType">
    <vt:lpwstr/>
  </property>
  <property fmtid="{D5CDD505-2E9C-101B-9397-08002B2CF9AE}" pid="16" name="SharedWithUsers">
    <vt:lpwstr>1048;#Briget Ridden;#634;#Maarten Quivooy</vt:lpwstr>
  </property>
</Properties>
</file>