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E1CA" w14:textId="77777777" w:rsidR="001676BD" w:rsidRDefault="009712AF" w:rsidP="00EB5270">
      <w:pPr>
        <w:pStyle w:val="Heading1"/>
        <w:spacing w:before="120"/>
        <w:contextualSpacing w:val="0"/>
      </w:pPr>
      <w:r>
        <w:t>Executive Director</w:t>
      </w:r>
      <w:r w:rsidR="00E30BE1">
        <w:t>, Royal Commission of Inquiry into Historical Abuse in State Care</w:t>
      </w:r>
    </w:p>
    <w:p w14:paraId="2F8EE79D" w14:textId="4C15BCEA" w:rsidR="00A13BC3" w:rsidRPr="00EE4F29" w:rsidRDefault="002059C1" w:rsidP="00A13BC3">
      <w:pPr>
        <w:pStyle w:val="Heading2"/>
        <w:spacing w:before="0" w:after="0"/>
        <w:rPr>
          <w:b w:val="0"/>
          <w:szCs w:val="32"/>
        </w:rPr>
      </w:pPr>
      <w:r>
        <w:rPr>
          <w:b w:val="0"/>
          <w:szCs w:val="32"/>
        </w:rPr>
        <w:t xml:space="preserve">Toi </w:t>
      </w:r>
      <w:proofErr w:type="spellStart"/>
      <w:r>
        <w:rPr>
          <w:b w:val="0"/>
          <w:szCs w:val="32"/>
        </w:rPr>
        <w:t>Hiranga</w:t>
      </w:r>
      <w:proofErr w:type="spellEnd"/>
      <w:r>
        <w:rPr>
          <w:b w:val="0"/>
          <w:szCs w:val="32"/>
        </w:rPr>
        <w:t xml:space="preserve"> (Regulation &amp; Policy)</w:t>
      </w:r>
      <w:r w:rsidR="00A13BC3" w:rsidRPr="00EE4F29">
        <w:rPr>
          <w:b w:val="0"/>
          <w:szCs w:val="32"/>
        </w:rPr>
        <w:t xml:space="preserve"> </w:t>
      </w:r>
      <w:r w:rsidR="00A13BC3">
        <w:rPr>
          <w:b w:val="0"/>
          <w:szCs w:val="32"/>
        </w:rPr>
        <w:t xml:space="preserve">Branch </w:t>
      </w:r>
    </w:p>
    <w:p w14:paraId="185834B9" w14:textId="77777777" w:rsidR="00A13BC3" w:rsidRDefault="00A13BC3" w:rsidP="006A3305">
      <w:pPr>
        <w:autoSpaceDE w:val="0"/>
        <w:autoSpaceDN w:val="0"/>
        <w:adjustRightInd w:val="0"/>
        <w:spacing w:before="0" w:after="0"/>
      </w:pPr>
    </w:p>
    <w:p w14:paraId="0AEB6A03" w14:textId="238D2742" w:rsidR="007343E0" w:rsidRPr="006273AC" w:rsidRDefault="00C603BE" w:rsidP="006A3305">
      <w:pPr>
        <w:autoSpaceDE w:val="0"/>
        <w:autoSpaceDN w:val="0"/>
        <w:adjustRightInd w:val="0"/>
        <w:spacing w:before="0" w:after="0"/>
        <w:rPr>
          <w:sz w:val="22"/>
          <w:szCs w:val="22"/>
        </w:rPr>
      </w:pPr>
      <w:r w:rsidRPr="006273AC">
        <w:rPr>
          <w:sz w:val="22"/>
          <w:szCs w:val="22"/>
        </w:rPr>
        <w:t xml:space="preserve">The Executive Director </w:t>
      </w:r>
      <w:r w:rsidR="007343E0" w:rsidRPr="006273AC">
        <w:rPr>
          <w:sz w:val="22"/>
          <w:szCs w:val="22"/>
        </w:rPr>
        <w:t xml:space="preserve">is responsible for establishing and </w:t>
      </w:r>
      <w:r w:rsidR="00A13BC3" w:rsidRPr="006273AC">
        <w:rPr>
          <w:sz w:val="22"/>
          <w:szCs w:val="22"/>
        </w:rPr>
        <w:t xml:space="preserve">driving the development </w:t>
      </w:r>
      <w:r w:rsidR="007343E0" w:rsidRPr="006273AC">
        <w:rPr>
          <w:sz w:val="22"/>
          <w:szCs w:val="22"/>
        </w:rPr>
        <w:t>and implementation of</w:t>
      </w:r>
      <w:r w:rsidR="00A13BC3" w:rsidRPr="006273AC">
        <w:rPr>
          <w:sz w:val="22"/>
          <w:szCs w:val="22"/>
        </w:rPr>
        <w:t xml:space="preserve"> the Royal Commission</w:t>
      </w:r>
      <w:r w:rsidR="007343E0" w:rsidRPr="006273AC">
        <w:rPr>
          <w:sz w:val="22"/>
          <w:szCs w:val="22"/>
        </w:rPr>
        <w:t xml:space="preserve"> of Inquiry’s (</w:t>
      </w:r>
      <w:r w:rsidR="000E1FD7" w:rsidRPr="006273AC">
        <w:rPr>
          <w:sz w:val="22"/>
          <w:szCs w:val="22"/>
        </w:rPr>
        <w:t>the Inquiry</w:t>
      </w:r>
      <w:r w:rsidR="007343E0" w:rsidRPr="006273AC">
        <w:rPr>
          <w:sz w:val="22"/>
          <w:szCs w:val="22"/>
        </w:rPr>
        <w:t xml:space="preserve">) </w:t>
      </w:r>
      <w:r w:rsidR="00A13BC3" w:rsidRPr="006273AC">
        <w:rPr>
          <w:sz w:val="22"/>
          <w:szCs w:val="22"/>
        </w:rPr>
        <w:t>work programme</w:t>
      </w:r>
      <w:r w:rsidR="00B1300D" w:rsidRPr="006273AC">
        <w:rPr>
          <w:sz w:val="22"/>
          <w:szCs w:val="22"/>
        </w:rPr>
        <w:t xml:space="preserve">.  The Executive Director’s role is key </w:t>
      </w:r>
      <w:r w:rsidR="007343E0" w:rsidRPr="006273AC">
        <w:rPr>
          <w:sz w:val="22"/>
          <w:szCs w:val="22"/>
        </w:rPr>
        <w:t>to enabl</w:t>
      </w:r>
      <w:r w:rsidR="00B1300D" w:rsidRPr="006273AC">
        <w:rPr>
          <w:sz w:val="22"/>
          <w:szCs w:val="22"/>
        </w:rPr>
        <w:t>ing</w:t>
      </w:r>
      <w:r w:rsidR="007343E0" w:rsidRPr="006273AC">
        <w:rPr>
          <w:sz w:val="22"/>
          <w:szCs w:val="22"/>
        </w:rPr>
        <w:t xml:space="preserve"> the Royal Commission to fulfil its terms of reference and deliver its report to Government </w:t>
      </w:r>
      <w:r w:rsidR="002059C1" w:rsidRPr="006273AC">
        <w:rPr>
          <w:sz w:val="22"/>
          <w:szCs w:val="22"/>
        </w:rPr>
        <w:t>within t</w:t>
      </w:r>
      <w:r w:rsidR="007343E0" w:rsidRPr="006273AC">
        <w:rPr>
          <w:sz w:val="22"/>
          <w:szCs w:val="22"/>
        </w:rPr>
        <w:t xml:space="preserve">ime and budget. </w:t>
      </w:r>
    </w:p>
    <w:p w14:paraId="044EAF8A" w14:textId="77777777" w:rsidR="00B1300D" w:rsidRPr="006273AC" w:rsidRDefault="00B1300D" w:rsidP="006A3305">
      <w:pPr>
        <w:autoSpaceDE w:val="0"/>
        <w:autoSpaceDN w:val="0"/>
        <w:adjustRightInd w:val="0"/>
        <w:spacing w:before="0" w:after="0"/>
        <w:rPr>
          <w:sz w:val="22"/>
          <w:szCs w:val="22"/>
        </w:rPr>
      </w:pPr>
    </w:p>
    <w:p w14:paraId="59B0E852" w14:textId="20058ED7" w:rsidR="00B1300D" w:rsidRPr="006273AC" w:rsidRDefault="00B1300D" w:rsidP="006A3305">
      <w:pPr>
        <w:autoSpaceDE w:val="0"/>
        <w:autoSpaceDN w:val="0"/>
        <w:adjustRightInd w:val="0"/>
        <w:spacing w:before="0" w:after="0"/>
        <w:rPr>
          <w:sz w:val="22"/>
          <w:szCs w:val="22"/>
        </w:rPr>
      </w:pPr>
      <w:r w:rsidRPr="006273AC">
        <w:rPr>
          <w:sz w:val="22"/>
          <w:szCs w:val="22"/>
        </w:rPr>
        <w:t>The Executive Director is employed by the Department of Internal Affairs to work for the Royal Commission</w:t>
      </w:r>
      <w:r w:rsidR="009E70C0" w:rsidRPr="006273AC">
        <w:rPr>
          <w:sz w:val="22"/>
          <w:szCs w:val="22"/>
        </w:rPr>
        <w:t xml:space="preserve"> of Inquiry</w:t>
      </w:r>
      <w:r w:rsidRPr="006273AC">
        <w:rPr>
          <w:sz w:val="22"/>
          <w:szCs w:val="22"/>
        </w:rPr>
        <w:t xml:space="preserve">.  It is an executive public service leadership role with significant people and financial delegations.  To be effective the Executive Director will establish and maintain a strong working relationship with the Chair of the </w:t>
      </w:r>
      <w:r w:rsidR="009E70C0" w:rsidRPr="006273AC">
        <w:rPr>
          <w:sz w:val="22"/>
          <w:szCs w:val="22"/>
        </w:rPr>
        <w:t>Inquiry</w:t>
      </w:r>
      <w:r w:rsidRPr="006273AC">
        <w:rPr>
          <w:sz w:val="22"/>
          <w:szCs w:val="22"/>
        </w:rPr>
        <w:t>, Commissioners and the</w:t>
      </w:r>
      <w:r w:rsidR="00725AB6" w:rsidRPr="006273AC">
        <w:rPr>
          <w:sz w:val="22"/>
          <w:szCs w:val="22"/>
        </w:rPr>
        <w:t xml:space="preserve"> </w:t>
      </w:r>
      <w:r w:rsidRPr="006273AC">
        <w:rPr>
          <w:sz w:val="22"/>
          <w:szCs w:val="22"/>
        </w:rPr>
        <w:t>Counsel Assist</w:t>
      </w:r>
      <w:r w:rsidR="00725AB6" w:rsidRPr="006273AC">
        <w:rPr>
          <w:sz w:val="22"/>
          <w:szCs w:val="22"/>
        </w:rPr>
        <w:t>in</w:t>
      </w:r>
      <w:r w:rsidR="002059C1" w:rsidRPr="006273AC">
        <w:rPr>
          <w:sz w:val="22"/>
          <w:szCs w:val="22"/>
        </w:rPr>
        <w:t>g who is</w:t>
      </w:r>
      <w:r w:rsidR="006273AC">
        <w:rPr>
          <w:sz w:val="22"/>
          <w:szCs w:val="22"/>
        </w:rPr>
        <w:t xml:space="preserve"> </w:t>
      </w:r>
      <w:r w:rsidRPr="006273AC">
        <w:rPr>
          <w:sz w:val="22"/>
          <w:szCs w:val="22"/>
        </w:rPr>
        <w:t xml:space="preserve">appointed by Crown Law to provide legal advice </w:t>
      </w:r>
      <w:r w:rsidR="00597D48" w:rsidRPr="006273AC">
        <w:rPr>
          <w:sz w:val="22"/>
          <w:szCs w:val="22"/>
        </w:rPr>
        <w:t xml:space="preserve">and assistance </w:t>
      </w:r>
      <w:r w:rsidRPr="006273AC">
        <w:rPr>
          <w:sz w:val="22"/>
          <w:szCs w:val="22"/>
        </w:rPr>
        <w:t xml:space="preserve">to the </w:t>
      </w:r>
      <w:r w:rsidR="009E70C0" w:rsidRPr="006273AC">
        <w:rPr>
          <w:sz w:val="22"/>
          <w:szCs w:val="22"/>
        </w:rPr>
        <w:t>Inquiry</w:t>
      </w:r>
      <w:r w:rsidRPr="006273AC">
        <w:rPr>
          <w:sz w:val="22"/>
          <w:szCs w:val="22"/>
        </w:rPr>
        <w:t xml:space="preserve">.  Robust relationships also must be developed with </w:t>
      </w:r>
      <w:r w:rsidR="001D138D" w:rsidRPr="006273AC">
        <w:rPr>
          <w:sz w:val="22"/>
          <w:szCs w:val="22"/>
        </w:rPr>
        <w:t xml:space="preserve">Māori and other key stakeholder groups who are impacted by, or have an interest in, the </w:t>
      </w:r>
      <w:r w:rsidR="009E70C0" w:rsidRPr="006273AC">
        <w:rPr>
          <w:sz w:val="22"/>
          <w:szCs w:val="22"/>
        </w:rPr>
        <w:t>Inquiry’s</w:t>
      </w:r>
      <w:r w:rsidR="001D138D" w:rsidRPr="006273AC">
        <w:rPr>
          <w:sz w:val="22"/>
          <w:szCs w:val="22"/>
        </w:rPr>
        <w:t xml:space="preserve"> remit.</w:t>
      </w:r>
    </w:p>
    <w:p w14:paraId="72CD6B8D" w14:textId="77777777" w:rsidR="001D138D" w:rsidRPr="006273AC" w:rsidRDefault="001D138D" w:rsidP="006A3305">
      <w:pPr>
        <w:autoSpaceDE w:val="0"/>
        <w:autoSpaceDN w:val="0"/>
        <w:adjustRightInd w:val="0"/>
        <w:spacing w:before="0" w:after="0"/>
        <w:rPr>
          <w:sz w:val="22"/>
          <w:szCs w:val="22"/>
        </w:rPr>
      </w:pPr>
    </w:p>
    <w:p w14:paraId="4DA3F14A" w14:textId="77777777" w:rsidR="001D138D" w:rsidRPr="006273AC" w:rsidRDefault="001D138D" w:rsidP="006A3305">
      <w:pPr>
        <w:autoSpaceDE w:val="0"/>
        <w:autoSpaceDN w:val="0"/>
        <w:adjustRightInd w:val="0"/>
        <w:spacing w:before="0" w:after="0"/>
        <w:rPr>
          <w:sz w:val="22"/>
          <w:szCs w:val="22"/>
        </w:rPr>
      </w:pPr>
      <w:r w:rsidRPr="006273AC">
        <w:rPr>
          <w:sz w:val="22"/>
          <w:szCs w:val="22"/>
        </w:rPr>
        <w:t xml:space="preserve">In addition, the Executive Director will recruit, lead and manage skilled teams to undertake the work necessary to enable the </w:t>
      </w:r>
      <w:r w:rsidR="009E70C0" w:rsidRPr="006273AC">
        <w:rPr>
          <w:sz w:val="22"/>
          <w:szCs w:val="22"/>
        </w:rPr>
        <w:t>Inquiry</w:t>
      </w:r>
      <w:r w:rsidRPr="006273AC">
        <w:rPr>
          <w:sz w:val="22"/>
          <w:szCs w:val="22"/>
        </w:rPr>
        <w:t xml:space="preserve"> to deliver on its Terms of Reference</w:t>
      </w:r>
      <w:r w:rsidR="002059C1" w:rsidRPr="006273AC">
        <w:rPr>
          <w:sz w:val="22"/>
          <w:szCs w:val="22"/>
        </w:rPr>
        <w:t xml:space="preserve"> within time and budget</w:t>
      </w:r>
      <w:r w:rsidRPr="006273AC">
        <w:rPr>
          <w:sz w:val="22"/>
          <w:szCs w:val="22"/>
        </w:rPr>
        <w:t xml:space="preserve">, ensuring that all activities comply with relevant legislation, policies, and procedures.  </w:t>
      </w:r>
    </w:p>
    <w:p w14:paraId="256C8178" w14:textId="77777777" w:rsidR="00B1300D" w:rsidRPr="006273AC" w:rsidRDefault="00B1300D" w:rsidP="006A3305">
      <w:pPr>
        <w:autoSpaceDE w:val="0"/>
        <w:autoSpaceDN w:val="0"/>
        <w:adjustRightInd w:val="0"/>
        <w:spacing w:before="0" w:after="0"/>
        <w:rPr>
          <w:sz w:val="22"/>
          <w:szCs w:val="22"/>
        </w:rPr>
      </w:pPr>
    </w:p>
    <w:p w14:paraId="4EAFAD69" w14:textId="3278F25E" w:rsidR="001D138D" w:rsidRPr="006273AC" w:rsidRDefault="001D138D" w:rsidP="006A3305">
      <w:pPr>
        <w:autoSpaceDE w:val="0"/>
        <w:autoSpaceDN w:val="0"/>
        <w:adjustRightInd w:val="0"/>
        <w:spacing w:before="0" w:after="0"/>
        <w:rPr>
          <w:sz w:val="22"/>
          <w:szCs w:val="22"/>
        </w:rPr>
      </w:pPr>
      <w:r w:rsidRPr="006273AC">
        <w:rPr>
          <w:sz w:val="22"/>
          <w:szCs w:val="22"/>
        </w:rPr>
        <w:t xml:space="preserve">The Executive Director will have superior relationship management </w:t>
      </w:r>
      <w:r w:rsidR="002059C1" w:rsidRPr="006273AC">
        <w:rPr>
          <w:sz w:val="22"/>
          <w:szCs w:val="22"/>
        </w:rPr>
        <w:t xml:space="preserve">and influencing </w:t>
      </w:r>
      <w:r w:rsidRPr="006273AC">
        <w:rPr>
          <w:sz w:val="22"/>
          <w:szCs w:val="22"/>
        </w:rPr>
        <w:t xml:space="preserve">skills, </w:t>
      </w:r>
      <w:r w:rsidR="000038C0" w:rsidRPr="006273AC">
        <w:rPr>
          <w:sz w:val="22"/>
          <w:szCs w:val="22"/>
        </w:rPr>
        <w:t xml:space="preserve">excellent judgement, political </w:t>
      </w:r>
      <w:r w:rsidR="00F2339B" w:rsidRPr="006273AC">
        <w:rPr>
          <w:sz w:val="22"/>
          <w:szCs w:val="22"/>
        </w:rPr>
        <w:t>astuteness</w:t>
      </w:r>
      <w:r w:rsidR="000038C0" w:rsidRPr="006273AC">
        <w:rPr>
          <w:sz w:val="22"/>
          <w:szCs w:val="22"/>
        </w:rPr>
        <w:t xml:space="preserve"> and </w:t>
      </w:r>
      <w:r w:rsidR="002059C1" w:rsidRPr="006273AC">
        <w:rPr>
          <w:sz w:val="22"/>
          <w:szCs w:val="22"/>
        </w:rPr>
        <w:t>a delivery focus</w:t>
      </w:r>
      <w:r w:rsidR="000038C0" w:rsidRPr="006273AC">
        <w:rPr>
          <w:sz w:val="22"/>
          <w:szCs w:val="22"/>
        </w:rPr>
        <w:t xml:space="preserve">.  Successful experience in an executive level public service position, a strong </w:t>
      </w:r>
      <w:r w:rsidR="00F2339B" w:rsidRPr="006273AC">
        <w:rPr>
          <w:sz w:val="22"/>
          <w:szCs w:val="22"/>
        </w:rPr>
        <w:t>appreciation</w:t>
      </w:r>
      <w:r w:rsidR="000038C0" w:rsidRPr="006273AC">
        <w:rPr>
          <w:sz w:val="22"/>
          <w:szCs w:val="22"/>
        </w:rPr>
        <w:t xml:space="preserve"> of Te </w:t>
      </w:r>
      <w:proofErr w:type="spellStart"/>
      <w:r w:rsidR="000038C0" w:rsidRPr="006273AC">
        <w:rPr>
          <w:sz w:val="22"/>
          <w:szCs w:val="22"/>
        </w:rPr>
        <w:t>Ao</w:t>
      </w:r>
      <w:proofErr w:type="spellEnd"/>
      <w:r w:rsidR="000038C0" w:rsidRPr="006273AC">
        <w:rPr>
          <w:sz w:val="22"/>
          <w:szCs w:val="22"/>
        </w:rPr>
        <w:t xml:space="preserve"> Māori and of public sector frameworks and accountabilities are also essential.</w:t>
      </w:r>
    </w:p>
    <w:p w14:paraId="449C86A9" w14:textId="77777777" w:rsidR="001D138D" w:rsidRDefault="001D138D" w:rsidP="006A3305">
      <w:pPr>
        <w:autoSpaceDE w:val="0"/>
        <w:autoSpaceDN w:val="0"/>
        <w:adjustRightInd w:val="0"/>
        <w:spacing w:before="0" w:after="0"/>
      </w:pPr>
    </w:p>
    <w:p w14:paraId="43E6E25A" w14:textId="16F6C930" w:rsidR="001676BD" w:rsidRPr="0099455B" w:rsidRDefault="001676BD" w:rsidP="001676BD">
      <w:pPr>
        <w:pStyle w:val="Bullet"/>
        <w:rPr>
          <w:rStyle w:val="BullethighlightedChar"/>
        </w:rPr>
      </w:pPr>
      <w:r w:rsidRPr="0099455B">
        <w:rPr>
          <w:rStyle w:val="BullethighlightedChar"/>
        </w:rPr>
        <w:t>Reporting to</w:t>
      </w:r>
      <w:r w:rsidRPr="0099455B">
        <w:t>:</w:t>
      </w:r>
      <w:r w:rsidR="00F2339B">
        <w:t xml:space="preserve"> </w:t>
      </w:r>
      <w:r w:rsidR="002059C1">
        <w:t xml:space="preserve">Deputy Chief Executive, Toi </w:t>
      </w:r>
      <w:proofErr w:type="spellStart"/>
      <w:r w:rsidR="002059C1">
        <w:t>Hiranga</w:t>
      </w:r>
      <w:proofErr w:type="spellEnd"/>
    </w:p>
    <w:p w14:paraId="0B867230" w14:textId="77777777" w:rsidR="001676BD" w:rsidRPr="005A2652" w:rsidRDefault="001676BD" w:rsidP="001676BD">
      <w:pPr>
        <w:pStyle w:val="Bullethighlighted"/>
        <w:rPr>
          <w:rStyle w:val="BullethighlightedChar"/>
        </w:rPr>
      </w:pPr>
      <w:r w:rsidRPr="00285621">
        <w:t>Location:</w:t>
      </w:r>
      <w:r>
        <w:t xml:space="preserve"> </w:t>
      </w:r>
      <w:r w:rsidR="00383626">
        <w:rPr>
          <w:b w:val="0"/>
          <w:color w:val="auto"/>
        </w:rPr>
        <w:t>Wellington</w:t>
      </w:r>
    </w:p>
    <w:p w14:paraId="3FD74699"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01222F">
        <w:t>Non-banded</w:t>
      </w:r>
    </w:p>
    <w:p w14:paraId="73C99B19" w14:textId="77777777" w:rsidR="0078622B" w:rsidRPr="0078622B" w:rsidRDefault="001676BD" w:rsidP="000038C0">
      <w:pPr>
        <w:rPr>
          <w:rFonts w:cs="Arial"/>
          <w:b/>
          <w:bCs/>
          <w:iCs/>
          <w:color w:val="1F546B"/>
          <w:sz w:val="32"/>
          <w:szCs w:val="28"/>
        </w:rPr>
      </w:pPr>
      <w:r w:rsidRPr="0078622B">
        <w:rPr>
          <w:rFonts w:cs="Arial"/>
          <w:b/>
          <w:bCs/>
          <w:iCs/>
          <w:color w:val="1F546B"/>
          <w:sz w:val="32"/>
          <w:szCs w:val="28"/>
        </w:rPr>
        <w:t>What we do matters</w:t>
      </w:r>
      <w:r>
        <w:t xml:space="preserve"> – </w:t>
      </w:r>
      <w:r w:rsidRPr="0078622B">
        <w:rPr>
          <w:rFonts w:cs="Arial"/>
          <w:b/>
          <w:bCs/>
          <w:iCs/>
          <w:color w:val="1F546B"/>
          <w:sz w:val="32"/>
          <w:szCs w:val="28"/>
        </w:rPr>
        <w:t>our purpose</w:t>
      </w:r>
    </w:p>
    <w:p w14:paraId="20E7DE90" w14:textId="77777777" w:rsidR="006273AC" w:rsidRPr="006273AC" w:rsidRDefault="006273AC" w:rsidP="006273AC">
      <w:pPr>
        <w:rPr>
          <w:sz w:val="22"/>
          <w:szCs w:val="22"/>
        </w:rPr>
      </w:pPr>
      <w:r w:rsidRPr="006273AC">
        <w:rPr>
          <w:sz w:val="22"/>
          <w:szCs w:val="22"/>
        </w:rPr>
        <w:t>Our purpose is to serve and connect people, communities and government to build a safe, prosperous and respected nation.</w:t>
      </w:r>
    </w:p>
    <w:p w14:paraId="241EC5F2" w14:textId="4B9CAA7B" w:rsidR="006273AC" w:rsidRDefault="006273AC" w:rsidP="006273AC">
      <w:pPr>
        <w:rPr>
          <w:sz w:val="22"/>
          <w:szCs w:val="22"/>
        </w:rPr>
      </w:pPr>
      <w:r w:rsidRPr="006273AC">
        <w:rPr>
          <w:sz w:val="22"/>
          <w:szCs w:val="22"/>
        </w:rPr>
        <w:t>In other words, it’s all about helping to make New Zealand better for New Zealanders</w:t>
      </w:r>
      <w:r>
        <w:rPr>
          <w:sz w:val="22"/>
          <w:szCs w:val="22"/>
        </w:rPr>
        <w:t>.</w:t>
      </w:r>
    </w:p>
    <w:p w14:paraId="425E7FC7" w14:textId="103A3563" w:rsidR="000038C0" w:rsidRPr="006273AC" w:rsidRDefault="000038C0" w:rsidP="006273AC">
      <w:pPr>
        <w:rPr>
          <w:sz w:val="22"/>
          <w:szCs w:val="22"/>
        </w:rPr>
      </w:pPr>
      <w:r w:rsidRPr="006273AC">
        <w:rPr>
          <w:sz w:val="22"/>
          <w:szCs w:val="22"/>
        </w:rPr>
        <w:t>The Department of Internal Affairs (DIA) is responsible for administrative matters relating to Royal Commissions of Inquiry, supporting Royal Commissions to act independently, impartially and fairly</w:t>
      </w:r>
      <w:r w:rsidR="002059C1" w:rsidRPr="006273AC">
        <w:rPr>
          <w:sz w:val="22"/>
          <w:szCs w:val="22"/>
        </w:rPr>
        <w:t xml:space="preserve"> on matters related to their Terms of Reference</w:t>
      </w:r>
      <w:r w:rsidRPr="006273AC">
        <w:rPr>
          <w:sz w:val="22"/>
          <w:szCs w:val="22"/>
        </w:rPr>
        <w:t>.</w:t>
      </w:r>
    </w:p>
    <w:p w14:paraId="718A8BF3" w14:textId="528D6498" w:rsidR="000038C0" w:rsidRPr="006273AC" w:rsidRDefault="00597D48" w:rsidP="0078622B">
      <w:pPr>
        <w:rPr>
          <w:sz w:val="22"/>
          <w:szCs w:val="22"/>
        </w:rPr>
      </w:pPr>
      <w:r w:rsidRPr="006273AC">
        <w:rPr>
          <w:color w:val="000000"/>
          <w:sz w:val="22"/>
          <w:szCs w:val="22"/>
          <w:shd w:val="clear" w:color="auto" w:fill="FFFFFF"/>
        </w:rPr>
        <w:t>The matter of public importance that is the subject of the inquiry is the historical abuse of children, young persons, and vulnerable adults in State care, and in the care of faith-based institutions.</w:t>
      </w:r>
    </w:p>
    <w:p w14:paraId="6B27E222" w14:textId="77777777" w:rsidR="001676BD" w:rsidRDefault="001676BD" w:rsidP="00EB5270">
      <w:pPr>
        <w:pStyle w:val="Heading2withoverline"/>
        <w:spacing w:before="80"/>
      </w:pPr>
      <w:r w:rsidRPr="00B56D48">
        <w:lastRenderedPageBreak/>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0E6D6483" w14:textId="77777777" w:rsidTr="006336F1">
        <w:tc>
          <w:tcPr>
            <w:tcW w:w="1701" w:type="dxa"/>
            <w:vMerge w:val="restart"/>
          </w:tcPr>
          <w:p w14:paraId="741B321A" w14:textId="77777777" w:rsidR="0046587F" w:rsidRDefault="0046587F" w:rsidP="0046587F">
            <w:pPr>
              <w:pStyle w:val="Tablenormal0"/>
              <w:ind w:left="-108"/>
            </w:pPr>
            <w:r>
              <w:rPr>
                <w:noProof/>
                <w:lang w:eastAsia="en-NZ"/>
              </w:rPr>
              <w:drawing>
                <wp:inline distT="0" distB="0" distL="0" distR="0" wp14:anchorId="20DE4583" wp14:editId="20DE4584">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525E041C" w14:textId="77777777" w:rsidR="0046587F" w:rsidRPr="00DA62E8" w:rsidRDefault="0046587F" w:rsidP="00DA62E8">
            <w:pPr>
              <w:pStyle w:val="Heading3"/>
            </w:pPr>
            <w:r w:rsidRPr="00DA62E8">
              <w:t xml:space="preserve">We make it easy, we make it work </w:t>
            </w:r>
          </w:p>
          <w:p w14:paraId="7BD078F7" w14:textId="77777777" w:rsidR="0046587F" w:rsidRPr="00DA62E8" w:rsidRDefault="0046587F" w:rsidP="00DA62E8">
            <w:pPr>
              <w:pStyle w:val="Tablebullet"/>
            </w:pPr>
            <w:r w:rsidRPr="00DA62E8">
              <w:t>Customer centred</w:t>
            </w:r>
          </w:p>
          <w:p w14:paraId="07BD90EC" w14:textId="77777777" w:rsidR="0046587F" w:rsidRPr="00BF0C5F" w:rsidRDefault="0046587F" w:rsidP="00DA62E8">
            <w:pPr>
              <w:pStyle w:val="Tablebullet"/>
            </w:pPr>
            <w:r w:rsidRPr="00DA62E8">
              <w:t>Make things even better</w:t>
            </w:r>
          </w:p>
        </w:tc>
      </w:tr>
      <w:tr w:rsidR="0046587F" w14:paraId="464A1BE1" w14:textId="77777777" w:rsidTr="006336F1">
        <w:tc>
          <w:tcPr>
            <w:tcW w:w="1701" w:type="dxa"/>
            <w:vMerge/>
          </w:tcPr>
          <w:p w14:paraId="15B5A09A" w14:textId="77777777" w:rsidR="0046587F" w:rsidRDefault="0046587F" w:rsidP="00DA62E8">
            <w:pPr>
              <w:pStyle w:val="Tablenormal0"/>
            </w:pPr>
          </w:p>
        </w:tc>
        <w:tc>
          <w:tcPr>
            <w:tcW w:w="8557" w:type="dxa"/>
          </w:tcPr>
          <w:p w14:paraId="73DEF175" w14:textId="77777777" w:rsidR="0046587F" w:rsidRPr="005D6013" w:rsidRDefault="0046587F" w:rsidP="00DA62E8">
            <w:pPr>
              <w:pStyle w:val="Heading3"/>
            </w:pPr>
            <w:r w:rsidRPr="005D6013">
              <w:t xml:space="preserve">We’re stronger together </w:t>
            </w:r>
          </w:p>
          <w:p w14:paraId="4AE21A94" w14:textId="77777777" w:rsidR="0046587F" w:rsidRPr="00DA62E8" w:rsidRDefault="0046587F" w:rsidP="00DA62E8">
            <w:pPr>
              <w:pStyle w:val="Tablebullet"/>
            </w:pPr>
            <w:r w:rsidRPr="00DA62E8">
              <w:t>Work as a team</w:t>
            </w:r>
          </w:p>
          <w:p w14:paraId="5F226A05" w14:textId="77777777" w:rsidR="0046587F" w:rsidRPr="00BF0C5F" w:rsidRDefault="0046587F" w:rsidP="00DA62E8">
            <w:pPr>
              <w:pStyle w:val="Tablebullet"/>
            </w:pPr>
            <w:r w:rsidRPr="00DA62E8">
              <w:t>Value each other</w:t>
            </w:r>
          </w:p>
        </w:tc>
      </w:tr>
      <w:tr w:rsidR="0046587F" w14:paraId="29AC9821" w14:textId="77777777" w:rsidTr="006336F1">
        <w:tc>
          <w:tcPr>
            <w:tcW w:w="1701" w:type="dxa"/>
            <w:vMerge/>
          </w:tcPr>
          <w:p w14:paraId="241C6D51" w14:textId="77777777" w:rsidR="0046587F" w:rsidRDefault="0046587F" w:rsidP="00DA62E8">
            <w:pPr>
              <w:pStyle w:val="Tablenormal0"/>
            </w:pPr>
          </w:p>
        </w:tc>
        <w:tc>
          <w:tcPr>
            <w:tcW w:w="8557" w:type="dxa"/>
          </w:tcPr>
          <w:p w14:paraId="719A8973" w14:textId="77777777" w:rsidR="0046587F" w:rsidRPr="005D6013" w:rsidRDefault="0046587F" w:rsidP="00DA62E8">
            <w:pPr>
              <w:pStyle w:val="Heading3"/>
            </w:pPr>
            <w:r w:rsidRPr="005D6013">
              <w:t xml:space="preserve">We take pride in what we do </w:t>
            </w:r>
          </w:p>
          <w:p w14:paraId="5097F67D" w14:textId="77777777" w:rsidR="0046587F" w:rsidRPr="00DA62E8" w:rsidRDefault="0046587F" w:rsidP="00DA62E8">
            <w:pPr>
              <w:pStyle w:val="Tablebullet"/>
            </w:pPr>
            <w:r w:rsidRPr="00DA62E8">
              <w:t>Make a positive difference</w:t>
            </w:r>
          </w:p>
          <w:p w14:paraId="70D80109" w14:textId="77777777" w:rsidR="0046587F" w:rsidRPr="00BF0C5F" w:rsidRDefault="0046587F" w:rsidP="00DA62E8">
            <w:pPr>
              <w:pStyle w:val="Tablebullet"/>
            </w:pPr>
            <w:r w:rsidRPr="00DA62E8">
              <w:t>Strive for excellence</w:t>
            </w:r>
          </w:p>
        </w:tc>
      </w:tr>
    </w:tbl>
    <w:p w14:paraId="5D54E627" w14:textId="77777777" w:rsidR="00535DF5" w:rsidRPr="00767FB1" w:rsidRDefault="00535DF5" w:rsidP="00EB5270">
      <w:pPr>
        <w:pStyle w:val="Heading2withoverline"/>
        <w:spacing w:before="80"/>
      </w:pPr>
      <w:r w:rsidRPr="00767FB1">
        <w:t xml:space="preserve">Working </w:t>
      </w:r>
      <w:r w:rsidR="001E3565">
        <w:t xml:space="preserve">effectively </w:t>
      </w:r>
      <w:r w:rsidRPr="00767FB1">
        <w:t xml:space="preserve">with </w:t>
      </w:r>
      <w:r w:rsidRPr="00535DF5">
        <w:t>Māori</w:t>
      </w:r>
    </w:p>
    <w:p w14:paraId="1D0E60E7" w14:textId="3A6125C9" w:rsidR="00F65907" w:rsidRPr="00F3680D" w:rsidRDefault="00F65907" w:rsidP="00F65907">
      <w:pPr>
        <w:keepNext/>
        <w:keepLines/>
        <w:rPr>
          <w:sz w:val="22"/>
          <w:szCs w:val="22"/>
        </w:rPr>
      </w:pPr>
      <w:r w:rsidRPr="00F3680D">
        <w:rPr>
          <w:sz w:val="22"/>
          <w:szCs w:val="22"/>
        </w:rPr>
        <w:t xml:space="preserve">Te Aka Taiwhenua – </w:t>
      </w:r>
      <w:r w:rsidR="00597D48" w:rsidRPr="00F3680D">
        <w:rPr>
          <w:sz w:val="22"/>
          <w:szCs w:val="22"/>
        </w:rPr>
        <w:t xml:space="preserve">the Department’s </w:t>
      </w:r>
      <w:r w:rsidRPr="00F3680D">
        <w:rPr>
          <w:sz w:val="22"/>
          <w:szCs w:val="22"/>
        </w:rPr>
        <w:t xml:space="preserve">Māori Strategic Framework – enables </w:t>
      </w:r>
      <w:r w:rsidR="00224737" w:rsidRPr="00F3680D">
        <w:rPr>
          <w:sz w:val="22"/>
          <w:szCs w:val="22"/>
        </w:rPr>
        <w:t xml:space="preserve">DIA </w:t>
      </w:r>
      <w:r w:rsidRPr="00F3680D">
        <w:rPr>
          <w:sz w:val="22"/>
          <w:szCs w:val="22"/>
        </w:rPr>
        <w:t xml:space="preserve">to work effectively with Māori. Te Aka Taiwhenua is underpinned by our </w:t>
      </w:r>
      <w:proofErr w:type="spellStart"/>
      <w:r w:rsidRPr="00F3680D">
        <w:rPr>
          <w:sz w:val="22"/>
          <w:szCs w:val="22"/>
        </w:rPr>
        <w:t>mātāpono</w:t>
      </w:r>
      <w:proofErr w:type="spellEnd"/>
      <w:r w:rsidRPr="00F3680D">
        <w:rPr>
          <w:sz w:val="22"/>
          <w:szCs w:val="22"/>
        </w:rPr>
        <w:t xml:space="preserve"> – Kotahitanga, </w:t>
      </w:r>
      <w:proofErr w:type="spellStart"/>
      <w:r w:rsidRPr="00F3680D">
        <w:rPr>
          <w:sz w:val="22"/>
          <w:szCs w:val="22"/>
        </w:rPr>
        <w:t>Manaakitanga</w:t>
      </w:r>
      <w:proofErr w:type="spellEnd"/>
      <w:r w:rsidRPr="00F3680D">
        <w:rPr>
          <w:sz w:val="22"/>
          <w:szCs w:val="22"/>
        </w:rPr>
        <w:t xml:space="preserve">, </w:t>
      </w:r>
      <w:proofErr w:type="spellStart"/>
      <w:r w:rsidRPr="00F3680D">
        <w:rPr>
          <w:sz w:val="22"/>
          <w:szCs w:val="22"/>
        </w:rPr>
        <w:t>Whānaungatanga</w:t>
      </w:r>
      <w:proofErr w:type="spellEnd"/>
      <w:r w:rsidRPr="00F3680D">
        <w:rPr>
          <w:sz w:val="22"/>
          <w:szCs w:val="22"/>
        </w:rPr>
        <w:t>, He Tāngata.</w:t>
      </w:r>
    </w:p>
    <w:p w14:paraId="4BA845A0" w14:textId="77777777" w:rsidR="00F65907" w:rsidRPr="00F3680D" w:rsidRDefault="00F65907" w:rsidP="00F65907">
      <w:pPr>
        <w:keepNext/>
        <w:keepLines/>
        <w:rPr>
          <w:sz w:val="22"/>
          <w:szCs w:val="22"/>
        </w:rPr>
      </w:pPr>
      <w:r w:rsidRPr="00F3680D">
        <w:rPr>
          <w:sz w:val="22"/>
          <w:szCs w:val="22"/>
        </w:rPr>
        <w:t xml:space="preserve">As DIA is an agent of the Crown, Te </w:t>
      </w:r>
      <w:proofErr w:type="spellStart"/>
      <w:r w:rsidRPr="00F3680D">
        <w:rPr>
          <w:sz w:val="22"/>
          <w:szCs w:val="22"/>
        </w:rPr>
        <w:t>Tiriti</w:t>
      </w:r>
      <w:proofErr w:type="spellEnd"/>
      <w:r w:rsidRPr="00F3680D">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F3680D">
        <w:rPr>
          <w:sz w:val="22"/>
          <w:szCs w:val="22"/>
        </w:rPr>
        <w:t>Tiriti</w:t>
      </w:r>
      <w:proofErr w:type="spellEnd"/>
      <w:r w:rsidRPr="00F3680D">
        <w:rPr>
          <w:sz w:val="22"/>
          <w:szCs w:val="22"/>
        </w:rPr>
        <w:t xml:space="preserve"> o Waitangi.</w:t>
      </w:r>
    </w:p>
    <w:p w14:paraId="4B45C27E" w14:textId="07D05FF0" w:rsidR="00224737" w:rsidRPr="00F3680D" w:rsidRDefault="00224737" w:rsidP="00224737">
      <w:pPr>
        <w:spacing w:before="0" w:after="160" w:line="256" w:lineRule="auto"/>
        <w:rPr>
          <w:sz w:val="22"/>
          <w:szCs w:val="22"/>
        </w:rPr>
      </w:pPr>
      <w:r w:rsidRPr="00F3680D">
        <w:rPr>
          <w:sz w:val="22"/>
          <w:szCs w:val="22"/>
        </w:rPr>
        <w:t xml:space="preserve">The Royal Commission has made a specific commitment to te </w:t>
      </w:r>
      <w:proofErr w:type="spellStart"/>
      <w:r w:rsidRPr="00F3680D">
        <w:rPr>
          <w:sz w:val="22"/>
          <w:szCs w:val="22"/>
        </w:rPr>
        <w:t>Tiriti</w:t>
      </w:r>
      <w:proofErr w:type="spellEnd"/>
      <w:r w:rsidRPr="00F3680D">
        <w:rPr>
          <w:sz w:val="22"/>
          <w:szCs w:val="22"/>
        </w:rPr>
        <w:t xml:space="preserve"> o Waitangi, consistent with the requirements of its terms of reference.  The inquiry will give appropriate recognition to Māori interests, acknowledging the disproportionate representation of Māori, particularly in care. The inquiry will be underpinned by te </w:t>
      </w:r>
      <w:proofErr w:type="spellStart"/>
      <w:r w:rsidRPr="00F3680D">
        <w:rPr>
          <w:sz w:val="22"/>
          <w:szCs w:val="22"/>
        </w:rPr>
        <w:t>Tiriti</w:t>
      </w:r>
      <w:proofErr w:type="spellEnd"/>
      <w:r w:rsidRPr="00F3680D">
        <w:rPr>
          <w:sz w:val="22"/>
          <w:szCs w:val="22"/>
        </w:rPr>
        <w:t xml:space="preserve"> o Waitangi, and its principles, and will partner with M</w:t>
      </w:r>
      <w:r w:rsidRPr="00F3680D">
        <w:rPr>
          <w:rFonts w:cs="Calibri"/>
          <w:sz w:val="22"/>
          <w:szCs w:val="22"/>
        </w:rPr>
        <w:t>ā</w:t>
      </w:r>
      <w:r w:rsidRPr="00F3680D">
        <w:rPr>
          <w:sz w:val="22"/>
          <w:szCs w:val="22"/>
        </w:rPr>
        <w:t xml:space="preserve">ori throughout the inquiry process.  The Royal Commission retains an advisory group, Te </w:t>
      </w:r>
      <w:proofErr w:type="spellStart"/>
      <w:r w:rsidRPr="00F3680D">
        <w:rPr>
          <w:sz w:val="22"/>
          <w:szCs w:val="22"/>
        </w:rPr>
        <w:t>Taumata</w:t>
      </w:r>
      <w:proofErr w:type="spellEnd"/>
      <w:r w:rsidRPr="00F3680D">
        <w:rPr>
          <w:sz w:val="22"/>
          <w:szCs w:val="22"/>
        </w:rPr>
        <w:t>, to advise it in that regard.</w:t>
      </w:r>
    </w:p>
    <w:p w14:paraId="23C8B152" w14:textId="77777777" w:rsidR="00F65907" w:rsidRPr="00767FB1" w:rsidRDefault="00F65907" w:rsidP="00F65907">
      <w:pPr>
        <w:pStyle w:val="Heading2withoverline"/>
      </w:pPr>
      <w:r>
        <w:t>Spirit of service</w:t>
      </w:r>
    </w:p>
    <w:p w14:paraId="65476AC8" w14:textId="77777777" w:rsidR="00F65907" w:rsidRPr="00F3680D" w:rsidRDefault="00F65907" w:rsidP="00F65907">
      <w:pPr>
        <w:spacing w:after="0"/>
        <w:rPr>
          <w:rFonts w:asciiTheme="minorHAnsi" w:eastAsia="Times New Roman" w:hAnsiTheme="minorHAnsi" w:cstheme="minorHAnsi"/>
          <w:bCs/>
          <w:color w:val="2E1459"/>
          <w:sz w:val="22"/>
          <w:szCs w:val="22"/>
          <w:lang w:val="en-US" w:eastAsia="en-NZ"/>
        </w:rPr>
      </w:pPr>
      <w:r w:rsidRPr="00F3680D">
        <w:rPr>
          <w:rFonts w:asciiTheme="minorHAnsi" w:eastAsia="Calibri" w:hAnsiTheme="minorHAnsi" w:cstheme="minorHAnsi"/>
          <w:sz w:val="22"/>
          <w:szCs w:val="22"/>
          <w:lang w:eastAsia="en-NZ"/>
        </w:rPr>
        <w:t xml:space="preserve">Ka mahitahi mātou o te </w:t>
      </w:r>
      <w:proofErr w:type="spellStart"/>
      <w:r w:rsidRPr="00F3680D">
        <w:rPr>
          <w:rFonts w:asciiTheme="minorHAnsi" w:eastAsia="Calibri" w:hAnsiTheme="minorHAnsi" w:cstheme="minorHAnsi"/>
          <w:sz w:val="22"/>
          <w:szCs w:val="22"/>
          <w:lang w:eastAsia="en-NZ"/>
        </w:rPr>
        <w:t>ratonga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tūmatanui</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kia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hei</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painga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mō</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ngā</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tāngata</w:t>
      </w:r>
      <w:proofErr w:type="spellEnd"/>
      <w:r w:rsidRPr="00F3680D">
        <w:rPr>
          <w:rFonts w:asciiTheme="minorHAnsi" w:eastAsia="Calibri" w:hAnsiTheme="minorHAnsi" w:cstheme="minorHAnsi"/>
          <w:sz w:val="22"/>
          <w:szCs w:val="22"/>
          <w:lang w:eastAsia="en-NZ"/>
        </w:rPr>
        <w:t xml:space="preserve"> o Aotearoa i </w:t>
      </w:r>
      <w:proofErr w:type="spellStart"/>
      <w:r w:rsidRPr="00F3680D">
        <w:rPr>
          <w:rFonts w:asciiTheme="minorHAnsi" w:eastAsia="Calibri" w:hAnsiTheme="minorHAnsi" w:cstheme="minorHAnsi"/>
          <w:sz w:val="22"/>
          <w:szCs w:val="22"/>
          <w:lang w:eastAsia="en-NZ"/>
        </w:rPr>
        <w:t>āianei</w:t>
      </w:r>
      <w:proofErr w:type="spellEnd"/>
      <w:r w:rsidRPr="00F3680D">
        <w:rPr>
          <w:rFonts w:asciiTheme="minorHAnsi" w:eastAsia="Calibri" w:hAnsiTheme="minorHAnsi" w:cstheme="minorHAnsi"/>
          <w:sz w:val="22"/>
          <w:szCs w:val="22"/>
          <w:lang w:eastAsia="en-NZ"/>
        </w:rPr>
        <w:t xml:space="preserve">, ā, </w:t>
      </w:r>
      <w:proofErr w:type="spellStart"/>
      <w:r w:rsidRPr="00F3680D">
        <w:rPr>
          <w:rFonts w:asciiTheme="minorHAnsi" w:eastAsia="Calibri" w:hAnsiTheme="minorHAnsi" w:cstheme="minorHAnsi"/>
          <w:sz w:val="22"/>
          <w:szCs w:val="22"/>
          <w:lang w:eastAsia="en-NZ"/>
        </w:rPr>
        <w:t>hei</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ngā</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rā</w:t>
      </w:r>
      <w:proofErr w:type="spellEnd"/>
      <w:r w:rsidRPr="00F3680D">
        <w:rPr>
          <w:rFonts w:asciiTheme="minorHAnsi" w:eastAsia="Calibri" w:hAnsiTheme="minorHAnsi" w:cstheme="minorHAnsi"/>
          <w:sz w:val="22"/>
          <w:szCs w:val="22"/>
          <w:lang w:eastAsia="en-NZ"/>
        </w:rPr>
        <w:t xml:space="preserve"> ki </w:t>
      </w:r>
      <w:proofErr w:type="spellStart"/>
      <w:r w:rsidRPr="00F3680D">
        <w:rPr>
          <w:rFonts w:asciiTheme="minorHAnsi" w:eastAsia="Calibri" w:hAnsiTheme="minorHAnsi" w:cstheme="minorHAnsi"/>
          <w:sz w:val="22"/>
          <w:szCs w:val="22"/>
          <w:lang w:eastAsia="en-NZ"/>
        </w:rPr>
        <w:t>tua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hoki</w:t>
      </w:r>
      <w:proofErr w:type="spellEnd"/>
      <w:r w:rsidRPr="00F3680D">
        <w:rPr>
          <w:rFonts w:asciiTheme="minorHAnsi" w:eastAsia="Calibri" w:hAnsiTheme="minorHAnsi" w:cstheme="minorHAnsi"/>
          <w:sz w:val="22"/>
          <w:szCs w:val="22"/>
          <w:lang w:eastAsia="en-NZ"/>
        </w:rPr>
        <w:t xml:space="preserve">. He </w:t>
      </w:r>
      <w:proofErr w:type="spellStart"/>
      <w:r w:rsidRPr="00F3680D">
        <w:rPr>
          <w:rFonts w:asciiTheme="minorHAnsi" w:eastAsia="Calibri" w:hAnsiTheme="minorHAnsi" w:cstheme="minorHAnsi"/>
          <w:sz w:val="22"/>
          <w:szCs w:val="22"/>
          <w:lang w:eastAsia="en-NZ"/>
        </w:rPr>
        <w:t>kawenga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tino</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whaitake</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tā</w:t>
      </w:r>
      <w:proofErr w:type="spellEnd"/>
      <w:r w:rsidRPr="00F3680D">
        <w:rPr>
          <w:rFonts w:asciiTheme="minorHAnsi" w:eastAsia="Calibri" w:hAnsiTheme="minorHAnsi" w:cstheme="minorHAnsi"/>
          <w:sz w:val="22"/>
          <w:szCs w:val="22"/>
          <w:lang w:eastAsia="en-NZ"/>
        </w:rPr>
        <w:t xml:space="preserve"> mātou </w:t>
      </w:r>
      <w:proofErr w:type="spellStart"/>
      <w:r w:rsidRPr="00F3680D">
        <w:rPr>
          <w:rFonts w:asciiTheme="minorHAnsi" w:eastAsia="Calibri" w:hAnsiTheme="minorHAnsi" w:cstheme="minorHAnsi"/>
          <w:sz w:val="22"/>
          <w:szCs w:val="22"/>
          <w:lang w:eastAsia="en-NZ"/>
        </w:rPr>
        <w:t>hei</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tautoko</w:t>
      </w:r>
      <w:proofErr w:type="spellEnd"/>
      <w:r w:rsidRPr="00F3680D">
        <w:rPr>
          <w:rFonts w:asciiTheme="minorHAnsi" w:eastAsia="Calibri" w:hAnsiTheme="minorHAnsi" w:cstheme="minorHAnsi"/>
          <w:sz w:val="22"/>
          <w:szCs w:val="22"/>
          <w:lang w:eastAsia="en-NZ"/>
        </w:rPr>
        <w:t xml:space="preserve"> i te </w:t>
      </w:r>
      <w:proofErr w:type="spellStart"/>
      <w:r w:rsidRPr="00F3680D">
        <w:rPr>
          <w:rFonts w:asciiTheme="minorHAnsi" w:eastAsia="Calibri" w:hAnsiTheme="minorHAnsi" w:cstheme="minorHAnsi"/>
          <w:sz w:val="22"/>
          <w:szCs w:val="22"/>
          <w:lang w:eastAsia="en-NZ"/>
        </w:rPr>
        <w:t>Karauna</w:t>
      </w:r>
      <w:proofErr w:type="spellEnd"/>
      <w:r w:rsidRPr="00F3680D">
        <w:rPr>
          <w:rFonts w:asciiTheme="minorHAnsi" w:eastAsia="Calibri" w:hAnsiTheme="minorHAnsi" w:cstheme="minorHAnsi"/>
          <w:sz w:val="22"/>
          <w:szCs w:val="22"/>
          <w:lang w:eastAsia="en-NZ"/>
        </w:rPr>
        <w:t xml:space="preserve"> i </w:t>
      </w:r>
      <w:proofErr w:type="spellStart"/>
      <w:r w:rsidRPr="00F3680D">
        <w:rPr>
          <w:rFonts w:asciiTheme="minorHAnsi" w:eastAsia="Calibri" w:hAnsiTheme="minorHAnsi" w:cstheme="minorHAnsi"/>
          <w:sz w:val="22"/>
          <w:szCs w:val="22"/>
          <w:lang w:eastAsia="en-NZ"/>
        </w:rPr>
        <w:t>runga</w:t>
      </w:r>
      <w:proofErr w:type="spellEnd"/>
      <w:r w:rsidRPr="00F3680D">
        <w:rPr>
          <w:rFonts w:asciiTheme="minorHAnsi" w:eastAsia="Calibri" w:hAnsiTheme="minorHAnsi" w:cstheme="minorHAnsi"/>
          <w:sz w:val="22"/>
          <w:szCs w:val="22"/>
          <w:lang w:eastAsia="en-NZ"/>
        </w:rPr>
        <w:t xml:space="preserve"> i </w:t>
      </w:r>
      <w:proofErr w:type="spellStart"/>
      <w:r w:rsidRPr="00F3680D">
        <w:rPr>
          <w:rFonts w:asciiTheme="minorHAnsi" w:eastAsia="Calibri" w:hAnsiTheme="minorHAnsi" w:cstheme="minorHAnsi"/>
          <w:sz w:val="22"/>
          <w:szCs w:val="22"/>
          <w:lang w:eastAsia="en-NZ"/>
        </w:rPr>
        <w:t>āna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hononga</w:t>
      </w:r>
      <w:proofErr w:type="spellEnd"/>
      <w:r w:rsidRPr="00F3680D">
        <w:rPr>
          <w:rFonts w:asciiTheme="minorHAnsi" w:eastAsia="Calibri" w:hAnsiTheme="minorHAnsi" w:cstheme="minorHAnsi"/>
          <w:sz w:val="22"/>
          <w:szCs w:val="22"/>
          <w:lang w:eastAsia="en-NZ"/>
        </w:rPr>
        <w:t xml:space="preserve"> ki a </w:t>
      </w:r>
      <w:proofErr w:type="spellStart"/>
      <w:r w:rsidRPr="00F3680D">
        <w:rPr>
          <w:rFonts w:asciiTheme="minorHAnsi" w:eastAsia="Calibri" w:hAnsiTheme="minorHAnsi" w:cstheme="minorHAnsi"/>
          <w:sz w:val="22"/>
          <w:szCs w:val="22"/>
          <w:lang w:eastAsia="en-NZ"/>
        </w:rPr>
        <w:t>ngāi</w:t>
      </w:r>
      <w:proofErr w:type="spellEnd"/>
      <w:r w:rsidRPr="00F3680D">
        <w:rPr>
          <w:rFonts w:asciiTheme="minorHAnsi" w:eastAsia="Calibri" w:hAnsiTheme="minorHAnsi" w:cstheme="minorHAnsi"/>
          <w:sz w:val="22"/>
          <w:szCs w:val="22"/>
          <w:lang w:eastAsia="en-NZ"/>
        </w:rPr>
        <w:t xml:space="preserve"> Māori i </w:t>
      </w:r>
      <w:proofErr w:type="spellStart"/>
      <w:r w:rsidRPr="00F3680D">
        <w:rPr>
          <w:rFonts w:asciiTheme="minorHAnsi" w:eastAsia="Calibri" w:hAnsiTheme="minorHAnsi" w:cstheme="minorHAnsi"/>
          <w:sz w:val="22"/>
          <w:szCs w:val="22"/>
          <w:lang w:eastAsia="en-NZ"/>
        </w:rPr>
        <w:t>raro</w:t>
      </w:r>
      <w:proofErr w:type="spellEnd"/>
      <w:r w:rsidRPr="00F3680D">
        <w:rPr>
          <w:rFonts w:asciiTheme="minorHAnsi" w:eastAsia="Calibri" w:hAnsiTheme="minorHAnsi" w:cstheme="minorHAnsi"/>
          <w:sz w:val="22"/>
          <w:szCs w:val="22"/>
          <w:lang w:eastAsia="en-NZ"/>
        </w:rPr>
        <w:t xml:space="preserve"> i te </w:t>
      </w:r>
      <w:proofErr w:type="spellStart"/>
      <w:r w:rsidRPr="00F3680D">
        <w:rPr>
          <w:rFonts w:asciiTheme="minorHAnsi" w:eastAsia="Calibri" w:hAnsiTheme="minorHAnsi" w:cstheme="minorHAnsi"/>
          <w:sz w:val="22"/>
          <w:szCs w:val="22"/>
          <w:lang w:eastAsia="en-NZ"/>
        </w:rPr>
        <w:t>Tiriti</w:t>
      </w:r>
      <w:proofErr w:type="spellEnd"/>
      <w:r w:rsidRPr="00F3680D">
        <w:rPr>
          <w:rFonts w:asciiTheme="minorHAnsi" w:eastAsia="Calibri" w:hAnsiTheme="minorHAnsi" w:cstheme="minorHAnsi"/>
          <w:sz w:val="22"/>
          <w:szCs w:val="22"/>
          <w:lang w:eastAsia="en-NZ"/>
        </w:rPr>
        <w:t xml:space="preserve"> o Waitangi. Ka </w:t>
      </w:r>
      <w:proofErr w:type="spellStart"/>
      <w:r w:rsidRPr="00F3680D">
        <w:rPr>
          <w:rFonts w:asciiTheme="minorHAnsi" w:eastAsia="Calibri" w:hAnsiTheme="minorHAnsi" w:cstheme="minorHAnsi"/>
          <w:sz w:val="22"/>
          <w:szCs w:val="22"/>
          <w:lang w:eastAsia="en-NZ"/>
        </w:rPr>
        <w:t>tautoko</w:t>
      </w:r>
      <w:proofErr w:type="spellEnd"/>
      <w:r w:rsidRPr="00F3680D">
        <w:rPr>
          <w:rFonts w:asciiTheme="minorHAnsi" w:eastAsia="Calibri" w:hAnsiTheme="minorHAnsi" w:cstheme="minorHAnsi"/>
          <w:sz w:val="22"/>
          <w:szCs w:val="22"/>
          <w:lang w:eastAsia="en-NZ"/>
        </w:rPr>
        <w:t xml:space="preserve"> mātou i te </w:t>
      </w:r>
      <w:proofErr w:type="spellStart"/>
      <w:r w:rsidRPr="00F3680D">
        <w:rPr>
          <w:rFonts w:asciiTheme="minorHAnsi" w:eastAsia="Calibri" w:hAnsiTheme="minorHAnsi" w:cstheme="minorHAnsi"/>
          <w:sz w:val="22"/>
          <w:szCs w:val="22"/>
          <w:lang w:eastAsia="en-NZ"/>
        </w:rPr>
        <w:t>kāwanatanga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manapori</w:t>
      </w:r>
      <w:proofErr w:type="spellEnd"/>
      <w:r w:rsidRPr="00F3680D">
        <w:rPr>
          <w:rFonts w:asciiTheme="minorHAnsi" w:eastAsia="Calibri" w:hAnsiTheme="minorHAnsi" w:cstheme="minorHAnsi"/>
          <w:sz w:val="22"/>
          <w:szCs w:val="22"/>
          <w:lang w:eastAsia="en-NZ"/>
        </w:rPr>
        <w:t xml:space="preserve">. Ka </w:t>
      </w:r>
      <w:proofErr w:type="spellStart"/>
      <w:r w:rsidRPr="00F3680D">
        <w:rPr>
          <w:rFonts w:asciiTheme="minorHAnsi" w:eastAsia="Calibri" w:hAnsiTheme="minorHAnsi" w:cstheme="minorHAnsi"/>
          <w:sz w:val="22"/>
          <w:szCs w:val="22"/>
          <w:lang w:eastAsia="en-NZ"/>
        </w:rPr>
        <w:t>whakakotahingia</w:t>
      </w:r>
      <w:proofErr w:type="spellEnd"/>
      <w:r w:rsidRPr="00F3680D">
        <w:rPr>
          <w:rFonts w:asciiTheme="minorHAnsi" w:eastAsia="Calibri" w:hAnsiTheme="minorHAnsi" w:cstheme="minorHAnsi"/>
          <w:sz w:val="22"/>
          <w:szCs w:val="22"/>
          <w:lang w:eastAsia="en-NZ"/>
        </w:rPr>
        <w:t xml:space="preserve"> mātou e te </w:t>
      </w:r>
      <w:proofErr w:type="spellStart"/>
      <w:r w:rsidRPr="00F3680D">
        <w:rPr>
          <w:rFonts w:asciiTheme="minorHAnsi" w:eastAsia="Calibri" w:hAnsiTheme="minorHAnsi" w:cstheme="minorHAnsi"/>
          <w:sz w:val="22"/>
          <w:szCs w:val="22"/>
          <w:lang w:eastAsia="en-NZ"/>
        </w:rPr>
        <w:t>wairua</w:t>
      </w:r>
      <w:proofErr w:type="spellEnd"/>
      <w:r w:rsidRPr="00F3680D">
        <w:rPr>
          <w:rFonts w:asciiTheme="minorHAnsi" w:eastAsia="Calibri" w:hAnsiTheme="minorHAnsi" w:cstheme="minorHAnsi"/>
          <w:sz w:val="22"/>
          <w:szCs w:val="22"/>
          <w:lang w:eastAsia="en-NZ"/>
        </w:rPr>
        <w:t xml:space="preserve"> </w:t>
      </w:r>
      <w:proofErr w:type="spellStart"/>
      <w:r w:rsidRPr="00F3680D">
        <w:rPr>
          <w:rFonts w:asciiTheme="minorHAnsi" w:eastAsia="Calibri" w:hAnsiTheme="minorHAnsi" w:cstheme="minorHAnsi"/>
          <w:sz w:val="22"/>
          <w:szCs w:val="22"/>
          <w:lang w:eastAsia="en-NZ"/>
        </w:rPr>
        <w:t>whakarato</w:t>
      </w:r>
      <w:proofErr w:type="spellEnd"/>
      <w:r w:rsidRPr="00F3680D">
        <w:rPr>
          <w:rFonts w:asciiTheme="minorHAnsi" w:eastAsia="Calibri" w:hAnsiTheme="minorHAnsi" w:cstheme="minorHAnsi"/>
          <w:sz w:val="22"/>
          <w:szCs w:val="22"/>
          <w:lang w:eastAsia="en-NZ"/>
        </w:rPr>
        <w:t xml:space="preserve"> </w:t>
      </w:r>
      <w:r w:rsidRPr="00F3680D">
        <w:rPr>
          <w:rFonts w:asciiTheme="minorHAnsi" w:eastAsia="Calibri" w:hAnsiTheme="minorHAnsi" w:cstheme="minorHAnsi"/>
          <w:color w:val="000000" w:themeColor="text1"/>
          <w:sz w:val="22"/>
          <w:szCs w:val="22"/>
          <w:lang w:eastAsia="en-NZ"/>
        </w:rPr>
        <w:t xml:space="preserve">ki </w:t>
      </w:r>
      <w:r w:rsidRPr="00F3680D">
        <w:rPr>
          <w:rFonts w:asciiTheme="minorHAnsi" w:eastAsia="Times New Roman" w:hAnsiTheme="minorHAnsi" w:cstheme="minorHAnsi"/>
          <w:bCs/>
          <w:color w:val="000000" w:themeColor="text1"/>
          <w:sz w:val="22"/>
          <w:szCs w:val="22"/>
          <w:lang w:eastAsia="en-NZ"/>
        </w:rPr>
        <w:t xml:space="preserve">ō mātou </w:t>
      </w:r>
      <w:proofErr w:type="spellStart"/>
      <w:r w:rsidRPr="00F3680D">
        <w:rPr>
          <w:rFonts w:asciiTheme="minorHAnsi" w:eastAsia="Times New Roman" w:hAnsiTheme="minorHAnsi" w:cstheme="minorHAnsi"/>
          <w:bCs/>
          <w:color w:val="000000" w:themeColor="text1"/>
          <w:sz w:val="22"/>
          <w:szCs w:val="22"/>
          <w:lang w:eastAsia="en-NZ"/>
        </w:rPr>
        <w:t>hapori</w:t>
      </w:r>
      <w:proofErr w:type="spellEnd"/>
      <w:r w:rsidRPr="00F3680D">
        <w:rPr>
          <w:rFonts w:asciiTheme="minorHAnsi" w:eastAsia="Times New Roman" w:hAnsiTheme="minorHAnsi" w:cstheme="minorHAnsi"/>
          <w:bCs/>
          <w:color w:val="000000" w:themeColor="text1"/>
          <w:sz w:val="22"/>
          <w:szCs w:val="22"/>
          <w:lang w:eastAsia="en-NZ"/>
        </w:rPr>
        <w:t xml:space="preserve">, ā, e </w:t>
      </w:r>
      <w:proofErr w:type="spellStart"/>
      <w:r w:rsidRPr="00F3680D">
        <w:rPr>
          <w:rFonts w:asciiTheme="minorHAnsi" w:eastAsia="Times New Roman" w:hAnsiTheme="minorHAnsi" w:cstheme="minorHAnsi"/>
          <w:bCs/>
          <w:color w:val="000000" w:themeColor="text1"/>
          <w:sz w:val="22"/>
          <w:szCs w:val="22"/>
          <w:lang w:eastAsia="en-NZ"/>
        </w:rPr>
        <w:t>arahina</w:t>
      </w:r>
      <w:proofErr w:type="spellEnd"/>
      <w:r w:rsidRPr="00F3680D">
        <w:rPr>
          <w:rFonts w:asciiTheme="minorHAnsi" w:eastAsia="Times New Roman" w:hAnsiTheme="minorHAnsi" w:cstheme="minorHAnsi"/>
          <w:bCs/>
          <w:color w:val="000000" w:themeColor="text1"/>
          <w:sz w:val="22"/>
          <w:szCs w:val="22"/>
          <w:lang w:eastAsia="en-NZ"/>
        </w:rPr>
        <w:t xml:space="preserve"> </w:t>
      </w:r>
      <w:proofErr w:type="spellStart"/>
      <w:r w:rsidRPr="00F3680D">
        <w:rPr>
          <w:rFonts w:asciiTheme="minorHAnsi" w:eastAsia="Times New Roman" w:hAnsiTheme="minorHAnsi" w:cstheme="minorHAnsi"/>
          <w:bCs/>
          <w:color w:val="000000" w:themeColor="text1"/>
          <w:sz w:val="22"/>
          <w:szCs w:val="22"/>
          <w:lang w:eastAsia="en-NZ"/>
        </w:rPr>
        <w:t>ana</w:t>
      </w:r>
      <w:proofErr w:type="spellEnd"/>
      <w:r w:rsidRPr="00F3680D">
        <w:rPr>
          <w:rFonts w:asciiTheme="minorHAnsi" w:eastAsia="Times New Roman" w:hAnsiTheme="minorHAnsi" w:cstheme="minorHAnsi"/>
          <w:bCs/>
          <w:color w:val="000000" w:themeColor="text1"/>
          <w:sz w:val="22"/>
          <w:szCs w:val="22"/>
          <w:lang w:eastAsia="en-NZ"/>
        </w:rPr>
        <w:t xml:space="preserve"> mātou e </w:t>
      </w:r>
      <w:proofErr w:type="spellStart"/>
      <w:r w:rsidRPr="00F3680D">
        <w:rPr>
          <w:rFonts w:asciiTheme="minorHAnsi" w:eastAsia="Times New Roman" w:hAnsiTheme="minorHAnsi" w:cstheme="minorHAnsi"/>
          <w:bCs/>
          <w:color w:val="000000" w:themeColor="text1"/>
          <w:sz w:val="22"/>
          <w:szCs w:val="22"/>
          <w:lang w:eastAsia="en-NZ"/>
        </w:rPr>
        <w:t>ngā</w:t>
      </w:r>
      <w:proofErr w:type="spellEnd"/>
      <w:r w:rsidRPr="00F3680D">
        <w:rPr>
          <w:rFonts w:asciiTheme="minorHAnsi" w:eastAsia="Times New Roman" w:hAnsiTheme="minorHAnsi" w:cstheme="minorHAnsi"/>
          <w:bCs/>
          <w:color w:val="000000" w:themeColor="text1"/>
          <w:sz w:val="22"/>
          <w:szCs w:val="22"/>
          <w:lang w:eastAsia="en-NZ"/>
        </w:rPr>
        <w:t xml:space="preserve"> </w:t>
      </w:r>
      <w:proofErr w:type="spellStart"/>
      <w:r w:rsidRPr="00F3680D">
        <w:rPr>
          <w:rFonts w:asciiTheme="minorHAnsi" w:eastAsia="Times New Roman" w:hAnsiTheme="minorHAnsi" w:cstheme="minorHAnsi"/>
          <w:bCs/>
          <w:color w:val="000000" w:themeColor="text1"/>
          <w:sz w:val="22"/>
          <w:szCs w:val="22"/>
          <w:lang w:eastAsia="en-NZ"/>
        </w:rPr>
        <w:t>mātāpono</w:t>
      </w:r>
      <w:proofErr w:type="spellEnd"/>
      <w:r w:rsidRPr="00F3680D">
        <w:rPr>
          <w:rFonts w:asciiTheme="minorHAnsi" w:eastAsia="Times New Roman" w:hAnsiTheme="minorHAnsi" w:cstheme="minorHAnsi"/>
          <w:bCs/>
          <w:color w:val="000000" w:themeColor="text1"/>
          <w:sz w:val="22"/>
          <w:szCs w:val="22"/>
          <w:lang w:eastAsia="en-NZ"/>
        </w:rPr>
        <w:t xml:space="preserve"> me </w:t>
      </w:r>
      <w:proofErr w:type="spellStart"/>
      <w:r w:rsidRPr="00F3680D">
        <w:rPr>
          <w:rFonts w:asciiTheme="minorHAnsi" w:eastAsia="Times New Roman" w:hAnsiTheme="minorHAnsi" w:cstheme="minorHAnsi"/>
          <w:bCs/>
          <w:color w:val="000000" w:themeColor="text1"/>
          <w:sz w:val="22"/>
          <w:szCs w:val="22"/>
          <w:lang w:eastAsia="en-NZ"/>
        </w:rPr>
        <w:t>ngā</w:t>
      </w:r>
      <w:proofErr w:type="spellEnd"/>
      <w:r w:rsidRPr="00F3680D">
        <w:rPr>
          <w:rFonts w:asciiTheme="minorHAnsi" w:eastAsia="Times New Roman" w:hAnsiTheme="minorHAnsi" w:cstheme="minorHAnsi"/>
          <w:bCs/>
          <w:color w:val="000000" w:themeColor="text1"/>
          <w:sz w:val="22"/>
          <w:szCs w:val="22"/>
          <w:lang w:eastAsia="en-NZ"/>
        </w:rPr>
        <w:t xml:space="preserve"> tikanga </w:t>
      </w:r>
      <w:proofErr w:type="spellStart"/>
      <w:r w:rsidRPr="00F3680D">
        <w:rPr>
          <w:rFonts w:asciiTheme="minorHAnsi" w:eastAsia="Times New Roman" w:hAnsiTheme="minorHAnsi" w:cstheme="minorHAnsi"/>
          <w:bCs/>
          <w:color w:val="000000" w:themeColor="text1"/>
          <w:sz w:val="22"/>
          <w:szCs w:val="22"/>
          <w:lang w:eastAsia="en-NZ"/>
        </w:rPr>
        <w:t>matua</w:t>
      </w:r>
      <w:proofErr w:type="spellEnd"/>
      <w:r w:rsidRPr="00F3680D">
        <w:rPr>
          <w:rFonts w:asciiTheme="minorHAnsi" w:eastAsia="Times New Roman" w:hAnsiTheme="minorHAnsi" w:cstheme="minorHAnsi"/>
          <w:bCs/>
          <w:color w:val="000000" w:themeColor="text1"/>
          <w:sz w:val="22"/>
          <w:szCs w:val="22"/>
          <w:lang w:eastAsia="en-NZ"/>
        </w:rPr>
        <w:t xml:space="preserve"> o te </w:t>
      </w:r>
      <w:proofErr w:type="spellStart"/>
      <w:r w:rsidRPr="00F3680D">
        <w:rPr>
          <w:rFonts w:asciiTheme="minorHAnsi" w:eastAsia="Times New Roman" w:hAnsiTheme="minorHAnsi" w:cstheme="minorHAnsi"/>
          <w:bCs/>
          <w:color w:val="000000" w:themeColor="text1"/>
          <w:sz w:val="22"/>
          <w:szCs w:val="22"/>
          <w:lang w:eastAsia="en-NZ"/>
        </w:rPr>
        <w:t>ratonga</w:t>
      </w:r>
      <w:proofErr w:type="spellEnd"/>
      <w:r w:rsidRPr="00F3680D">
        <w:rPr>
          <w:rFonts w:asciiTheme="minorHAnsi" w:eastAsia="Times New Roman" w:hAnsiTheme="minorHAnsi" w:cstheme="minorHAnsi"/>
          <w:bCs/>
          <w:color w:val="000000" w:themeColor="text1"/>
          <w:sz w:val="22"/>
          <w:szCs w:val="22"/>
          <w:lang w:eastAsia="en-NZ"/>
        </w:rPr>
        <w:t xml:space="preserve"> </w:t>
      </w:r>
      <w:proofErr w:type="spellStart"/>
      <w:r w:rsidRPr="00F3680D">
        <w:rPr>
          <w:rFonts w:asciiTheme="minorHAnsi" w:eastAsia="Times New Roman" w:hAnsiTheme="minorHAnsi" w:cstheme="minorHAnsi"/>
          <w:bCs/>
          <w:color w:val="000000" w:themeColor="text1"/>
          <w:sz w:val="22"/>
          <w:szCs w:val="22"/>
          <w:lang w:eastAsia="en-NZ"/>
        </w:rPr>
        <w:t>tūmatanui</w:t>
      </w:r>
      <w:proofErr w:type="spellEnd"/>
      <w:r w:rsidRPr="00F3680D">
        <w:rPr>
          <w:rFonts w:asciiTheme="minorHAnsi" w:eastAsia="Times New Roman" w:hAnsiTheme="minorHAnsi" w:cstheme="minorHAnsi"/>
          <w:bCs/>
          <w:color w:val="000000" w:themeColor="text1"/>
          <w:sz w:val="22"/>
          <w:szCs w:val="22"/>
          <w:lang w:eastAsia="en-NZ"/>
        </w:rPr>
        <w:t xml:space="preserve"> i roto i ā mātou mahi. </w:t>
      </w:r>
    </w:p>
    <w:p w14:paraId="7FD86C3E" w14:textId="77777777" w:rsidR="00F65907" w:rsidRPr="00F3680D" w:rsidRDefault="00F65907" w:rsidP="00F65907">
      <w:pPr>
        <w:spacing w:after="0"/>
        <w:rPr>
          <w:rFonts w:asciiTheme="minorHAnsi" w:eastAsia="Times New Roman" w:hAnsiTheme="minorHAnsi" w:cstheme="minorHAnsi"/>
          <w:bCs/>
          <w:color w:val="2E1459"/>
          <w:sz w:val="22"/>
          <w:szCs w:val="22"/>
          <w:lang w:eastAsia="en-NZ"/>
        </w:rPr>
      </w:pPr>
    </w:p>
    <w:p w14:paraId="2CBD94D0" w14:textId="77777777" w:rsidR="00F65907" w:rsidRPr="00F3680D" w:rsidRDefault="00F65907" w:rsidP="00F65907">
      <w:pPr>
        <w:spacing w:after="0"/>
        <w:rPr>
          <w:rFonts w:asciiTheme="minorHAnsi" w:eastAsia="Calibri" w:hAnsiTheme="minorHAnsi" w:cstheme="minorHAnsi"/>
          <w:sz w:val="22"/>
          <w:szCs w:val="22"/>
          <w:lang w:eastAsia="en-NZ"/>
        </w:rPr>
      </w:pPr>
      <w:r w:rsidRPr="00F3680D">
        <w:rPr>
          <w:rFonts w:asciiTheme="minorHAnsi" w:eastAsia="Calibri" w:hAnsiTheme="minorHAns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47D3F545" w14:textId="77777777" w:rsidR="00F65907" w:rsidRDefault="00F65907" w:rsidP="00DA62E8">
      <w:pPr>
        <w:pStyle w:val="Tinyline"/>
        <w:sectPr w:rsidR="00F65907" w:rsidSect="00C4125C">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tbl>
      <w:tblPr>
        <w:tblStyle w:val="Blanktable"/>
        <w:tblW w:w="9521"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470"/>
        <w:gridCol w:w="4044"/>
        <w:gridCol w:w="7"/>
      </w:tblGrid>
      <w:tr w:rsidR="00F65907" w:rsidRPr="006B2693" w14:paraId="7FD3637D" w14:textId="77777777" w:rsidTr="00D57265">
        <w:trPr>
          <w:gridAfter w:val="1"/>
          <w:wAfter w:w="7" w:type="dxa"/>
          <w:cantSplit/>
          <w:tblHeader/>
        </w:trPr>
        <w:tc>
          <w:tcPr>
            <w:tcW w:w="5470" w:type="dxa"/>
            <w:tcBorders>
              <w:bottom w:val="nil"/>
              <w:right w:val="single" w:sz="6" w:space="0" w:color="FFFFFF" w:themeColor="background1"/>
            </w:tcBorders>
            <w:shd w:val="clear" w:color="auto" w:fill="1F546B" w:themeFill="text2"/>
          </w:tcPr>
          <w:p w14:paraId="29752492" w14:textId="77777777" w:rsidR="00F65907" w:rsidRPr="006B2693" w:rsidRDefault="00F65907" w:rsidP="00F65837">
            <w:pPr>
              <w:pStyle w:val="Tableheading"/>
            </w:pPr>
            <w:r>
              <w:lastRenderedPageBreak/>
              <w:t xml:space="preserve">What you will do to </w:t>
            </w:r>
            <w:r w:rsidRPr="006B2693">
              <w:t>contribute</w:t>
            </w:r>
          </w:p>
        </w:tc>
        <w:tc>
          <w:tcPr>
            <w:tcW w:w="4044" w:type="dxa"/>
            <w:tcBorders>
              <w:left w:val="single" w:sz="6" w:space="0" w:color="FFFFFF" w:themeColor="background1"/>
              <w:bottom w:val="nil"/>
            </w:tcBorders>
            <w:shd w:val="clear" w:color="auto" w:fill="1F546B" w:themeFill="text2"/>
          </w:tcPr>
          <w:p w14:paraId="0E08B9FA" w14:textId="77777777" w:rsidR="00F65907" w:rsidRPr="006B2693" w:rsidRDefault="00F65907" w:rsidP="00F65837">
            <w:pPr>
              <w:pStyle w:val="Tableheading"/>
            </w:pPr>
            <w:r w:rsidRPr="006B2693">
              <w:t xml:space="preserve">As a </w:t>
            </w:r>
            <w:proofErr w:type="gramStart"/>
            <w:r w:rsidRPr="006B2693">
              <w:t>result</w:t>
            </w:r>
            <w:proofErr w:type="gramEnd"/>
            <w:r w:rsidRPr="006B2693">
              <w:t xml:space="preserve"> we will see</w:t>
            </w:r>
          </w:p>
        </w:tc>
      </w:tr>
      <w:tr w:rsidR="00F65907" w:rsidRPr="00F65907" w14:paraId="17BC60EC" w14:textId="77777777" w:rsidTr="00D57265">
        <w:trPr>
          <w:gridAfter w:val="1"/>
          <w:wAfter w:w="7" w:type="dxa"/>
          <w:cantSplit/>
        </w:trPr>
        <w:tc>
          <w:tcPr>
            <w:tcW w:w="5470" w:type="dxa"/>
            <w:tcBorders>
              <w:top w:val="nil"/>
              <w:left w:val="nil"/>
              <w:bottom w:val="single" w:sz="4" w:space="0" w:color="auto"/>
              <w:right w:val="single" w:sz="4" w:space="0" w:color="auto"/>
            </w:tcBorders>
          </w:tcPr>
          <w:p w14:paraId="6B9CB109" w14:textId="77777777" w:rsidR="00F65907" w:rsidRPr="00F3680D" w:rsidRDefault="008F7DEF" w:rsidP="00F65837">
            <w:pPr>
              <w:pStyle w:val="Tablenormal0"/>
              <w:rPr>
                <w:b/>
                <w:bCs/>
                <w:sz w:val="22"/>
                <w:szCs w:val="22"/>
              </w:rPr>
            </w:pPr>
            <w:bookmarkStart w:id="0" w:name="_GoBack"/>
            <w:r w:rsidRPr="00F3680D">
              <w:rPr>
                <w:b/>
                <w:bCs/>
                <w:sz w:val="22"/>
                <w:szCs w:val="22"/>
              </w:rPr>
              <w:t>Establish Strong</w:t>
            </w:r>
            <w:r w:rsidR="00701E2D" w:rsidRPr="00F3680D">
              <w:rPr>
                <w:b/>
                <w:bCs/>
                <w:sz w:val="22"/>
                <w:szCs w:val="22"/>
              </w:rPr>
              <w:t xml:space="preserve">, Collaborative </w:t>
            </w:r>
            <w:r w:rsidRPr="00F3680D">
              <w:rPr>
                <w:b/>
                <w:bCs/>
                <w:sz w:val="22"/>
                <w:szCs w:val="22"/>
              </w:rPr>
              <w:t xml:space="preserve">Working Relationships </w:t>
            </w:r>
          </w:p>
          <w:p w14:paraId="7540A592" w14:textId="77777777" w:rsidR="00BC05BE" w:rsidRPr="00F3680D" w:rsidRDefault="00BC05BE" w:rsidP="00BC05BE">
            <w:pPr>
              <w:pStyle w:val="Tablebullet"/>
              <w:rPr>
                <w:sz w:val="22"/>
                <w:szCs w:val="22"/>
              </w:rPr>
            </w:pPr>
            <w:r w:rsidRPr="00F3680D">
              <w:rPr>
                <w:sz w:val="22"/>
                <w:szCs w:val="22"/>
              </w:rPr>
              <w:t xml:space="preserve">Establish a strong, effective and collaborative working relationship with the Chair and Commissioners of the </w:t>
            </w:r>
            <w:r w:rsidR="009E70C0" w:rsidRPr="00F3680D">
              <w:rPr>
                <w:sz w:val="22"/>
                <w:szCs w:val="22"/>
              </w:rPr>
              <w:t>Inquiry</w:t>
            </w:r>
            <w:r w:rsidRPr="00F3680D">
              <w:rPr>
                <w:sz w:val="22"/>
                <w:szCs w:val="22"/>
              </w:rPr>
              <w:t xml:space="preserve"> </w:t>
            </w:r>
          </w:p>
          <w:p w14:paraId="4C1CC341" w14:textId="1839F938" w:rsidR="00BC05BE" w:rsidRPr="00F3680D" w:rsidRDefault="00BC05BE" w:rsidP="00BC05BE">
            <w:pPr>
              <w:pStyle w:val="Tablebullet"/>
              <w:rPr>
                <w:sz w:val="22"/>
                <w:szCs w:val="22"/>
              </w:rPr>
            </w:pPr>
            <w:r w:rsidRPr="00F3680D">
              <w:rPr>
                <w:sz w:val="22"/>
                <w:szCs w:val="22"/>
              </w:rPr>
              <w:t>In collaboration with the Inquiry Chair, Counsel</w:t>
            </w:r>
            <w:r w:rsidR="00936234" w:rsidRPr="00F3680D">
              <w:rPr>
                <w:sz w:val="22"/>
                <w:szCs w:val="22"/>
              </w:rPr>
              <w:t xml:space="preserve"> Assisting</w:t>
            </w:r>
            <w:r w:rsidRPr="00F3680D">
              <w:rPr>
                <w:sz w:val="22"/>
                <w:szCs w:val="22"/>
              </w:rPr>
              <w:t>, and other relevant members of the Inquiry:</w:t>
            </w:r>
          </w:p>
          <w:p w14:paraId="067B8024" w14:textId="77777777" w:rsidR="00BC05BE" w:rsidRPr="00F3680D" w:rsidRDefault="00BC05BE" w:rsidP="00BC05BE">
            <w:pPr>
              <w:pStyle w:val="Tablebulletlevel2"/>
              <w:numPr>
                <w:ilvl w:val="1"/>
                <w:numId w:val="22"/>
              </w:numPr>
              <w:rPr>
                <w:sz w:val="22"/>
                <w:szCs w:val="22"/>
              </w:rPr>
            </w:pPr>
            <w:r w:rsidRPr="00F3680D">
              <w:rPr>
                <w:sz w:val="22"/>
                <w:szCs w:val="22"/>
              </w:rPr>
              <w:t xml:space="preserve">establish the strategy </w:t>
            </w:r>
            <w:r w:rsidR="003012FA" w:rsidRPr="00F3680D">
              <w:rPr>
                <w:sz w:val="22"/>
                <w:szCs w:val="22"/>
              </w:rPr>
              <w:t xml:space="preserve">and plan </w:t>
            </w:r>
            <w:r w:rsidRPr="00F3680D">
              <w:rPr>
                <w:sz w:val="22"/>
                <w:szCs w:val="22"/>
              </w:rPr>
              <w:t>to deliver the Terms of Reference</w:t>
            </w:r>
          </w:p>
          <w:p w14:paraId="4AEF8B4B" w14:textId="77777777" w:rsidR="00BC05BE" w:rsidRPr="00F3680D" w:rsidRDefault="00BC05BE" w:rsidP="00BC05BE">
            <w:pPr>
              <w:pStyle w:val="Tablebulletlevel2"/>
              <w:numPr>
                <w:ilvl w:val="1"/>
                <w:numId w:val="22"/>
              </w:numPr>
              <w:rPr>
                <w:sz w:val="22"/>
                <w:szCs w:val="22"/>
              </w:rPr>
            </w:pPr>
            <w:r w:rsidRPr="00F3680D">
              <w:rPr>
                <w:sz w:val="22"/>
                <w:szCs w:val="22"/>
              </w:rPr>
              <w:t>establish operational processes and procedures, including determining working relationships and delegated authority for decision making</w:t>
            </w:r>
          </w:p>
          <w:p w14:paraId="68D6F3B7" w14:textId="63F941BF" w:rsidR="00701E2D" w:rsidRPr="00F3680D" w:rsidRDefault="00A83479" w:rsidP="00701E2D">
            <w:pPr>
              <w:pStyle w:val="Tablebullet"/>
              <w:rPr>
                <w:sz w:val="22"/>
                <w:szCs w:val="22"/>
              </w:rPr>
            </w:pPr>
            <w:r w:rsidRPr="00F3680D">
              <w:rPr>
                <w:sz w:val="22"/>
                <w:szCs w:val="22"/>
              </w:rPr>
              <w:t>Provide advice</w:t>
            </w:r>
            <w:r w:rsidR="00A20E73" w:rsidRPr="00F3680D">
              <w:rPr>
                <w:sz w:val="22"/>
                <w:szCs w:val="22"/>
              </w:rPr>
              <w:t xml:space="preserve"> and guidance </w:t>
            </w:r>
            <w:r w:rsidRPr="00F3680D">
              <w:rPr>
                <w:sz w:val="22"/>
                <w:szCs w:val="22"/>
              </w:rPr>
              <w:t xml:space="preserve">to the </w:t>
            </w:r>
            <w:r w:rsidR="003012FA" w:rsidRPr="00F3680D">
              <w:rPr>
                <w:sz w:val="22"/>
                <w:szCs w:val="22"/>
              </w:rPr>
              <w:t xml:space="preserve">Inquiry </w:t>
            </w:r>
            <w:r w:rsidR="00093F11" w:rsidRPr="00F3680D">
              <w:rPr>
                <w:sz w:val="22"/>
                <w:szCs w:val="22"/>
              </w:rPr>
              <w:t xml:space="preserve">on </w:t>
            </w:r>
            <w:r w:rsidR="00A20E73" w:rsidRPr="00F3680D">
              <w:rPr>
                <w:sz w:val="22"/>
                <w:szCs w:val="22"/>
              </w:rPr>
              <w:t xml:space="preserve">the </w:t>
            </w:r>
            <w:r w:rsidR="003012FA" w:rsidRPr="00F3680D">
              <w:rPr>
                <w:sz w:val="22"/>
                <w:szCs w:val="22"/>
              </w:rPr>
              <w:t>G</w:t>
            </w:r>
            <w:r w:rsidR="00A20E73" w:rsidRPr="00F3680D">
              <w:rPr>
                <w:sz w:val="22"/>
                <w:szCs w:val="22"/>
              </w:rPr>
              <w:t>overnment</w:t>
            </w:r>
            <w:r w:rsidR="003012FA" w:rsidRPr="00F3680D">
              <w:rPr>
                <w:sz w:val="22"/>
                <w:szCs w:val="22"/>
              </w:rPr>
              <w:t>’s</w:t>
            </w:r>
            <w:r w:rsidR="00A20E73" w:rsidRPr="00F3680D">
              <w:rPr>
                <w:sz w:val="22"/>
                <w:szCs w:val="22"/>
              </w:rPr>
              <w:t xml:space="preserve"> operating environment and </w:t>
            </w:r>
            <w:r w:rsidR="00701E2D" w:rsidRPr="00F3680D">
              <w:rPr>
                <w:sz w:val="22"/>
                <w:szCs w:val="22"/>
              </w:rPr>
              <w:t xml:space="preserve">relevant </w:t>
            </w:r>
            <w:r w:rsidR="003012FA" w:rsidRPr="00F3680D">
              <w:rPr>
                <w:sz w:val="22"/>
                <w:szCs w:val="22"/>
              </w:rPr>
              <w:t xml:space="preserve">public sector </w:t>
            </w:r>
            <w:r w:rsidR="00A20E73" w:rsidRPr="00F3680D">
              <w:rPr>
                <w:sz w:val="22"/>
                <w:szCs w:val="22"/>
              </w:rPr>
              <w:t>frameworks</w:t>
            </w:r>
            <w:r w:rsidR="00701E2D" w:rsidRPr="00F3680D">
              <w:rPr>
                <w:sz w:val="22"/>
                <w:szCs w:val="22"/>
              </w:rPr>
              <w:t xml:space="preserve"> and procedures</w:t>
            </w:r>
          </w:p>
          <w:p w14:paraId="47DC1451" w14:textId="6D2C7A79" w:rsidR="00093F11" w:rsidRPr="00F3680D" w:rsidRDefault="00390325" w:rsidP="00F3680D">
            <w:pPr>
              <w:pStyle w:val="Tablebullet"/>
              <w:rPr>
                <w:sz w:val="22"/>
                <w:szCs w:val="22"/>
              </w:rPr>
            </w:pPr>
            <w:r w:rsidRPr="00F3680D">
              <w:rPr>
                <w:sz w:val="22"/>
                <w:szCs w:val="22"/>
              </w:rPr>
              <w:t>Work collaboratively with Counsel Assist</w:t>
            </w:r>
            <w:r w:rsidR="003012FA" w:rsidRPr="00F3680D">
              <w:rPr>
                <w:sz w:val="22"/>
                <w:szCs w:val="22"/>
              </w:rPr>
              <w:t>ing</w:t>
            </w:r>
            <w:r w:rsidRPr="00F3680D">
              <w:rPr>
                <w:sz w:val="22"/>
                <w:szCs w:val="22"/>
              </w:rPr>
              <w:t xml:space="preserve"> to ensure the Inquiry is appropriately supported</w:t>
            </w:r>
          </w:p>
        </w:tc>
        <w:tc>
          <w:tcPr>
            <w:tcW w:w="4044" w:type="dxa"/>
            <w:tcBorders>
              <w:top w:val="nil"/>
              <w:left w:val="single" w:sz="4" w:space="0" w:color="auto"/>
              <w:bottom w:val="single" w:sz="4" w:space="0" w:color="auto"/>
              <w:right w:val="nil"/>
            </w:tcBorders>
          </w:tcPr>
          <w:p w14:paraId="61043606" w14:textId="14176FC8" w:rsidR="00390325" w:rsidRPr="00F3680D" w:rsidRDefault="00390325" w:rsidP="00390325">
            <w:pPr>
              <w:pStyle w:val="Tablebullet"/>
              <w:rPr>
                <w:sz w:val="22"/>
                <w:szCs w:val="22"/>
              </w:rPr>
            </w:pPr>
            <w:r w:rsidRPr="00F3680D">
              <w:rPr>
                <w:sz w:val="22"/>
                <w:szCs w:val="22"/>
              </w:rPr>
              <w:t xml:space="preserve">The Executive Director is recognised as a trusted advisor by the Inquiry </w:t>
            </w:r>
          </w:p>
          <w:p w14:paraId="799972C5" w14:textId="77777777" w:rsidR="002059C1" w:rsidRPr="00F3680D" w:rsidRDefault="002059C1" w:rsidP="00390325">
            <w:pPr>
              <w:pStyle w:val="Tablebullet"/>
              <w:rPr>
                <w:sz w:val="22"/>
                <w:szCs w:val="22"/>
              </w:rPr>
            </w:pPr>
            <w:r w:rsidRPr="00F3680D">
              <w:rPr>
                <w:sz w:val="22"/>
                <w:szCs w:val="22"/>
              </w:rPr>
              <w:t>The Executive Director is recognised as a key connector between the Inquiry, DIA and the rest of the public service</w:t>
            </w:r>
          </w:p>
          <w:p w14:paraId="0ED4F3AB" w14:textId="35CC51FF" w:rsidR="000F7AAD" w:rsidRPr="00F3680D" w:rsidRDefault="00390325" w:rsidP="00390325">
            <w:pPr>
              <w:pStyle w:val="Tablebullet"/>
              <w:rPr>
                <w:sz w:val="22"/>
                <w:szCs w:val="22"/>
              </w:rPr>
            </w:pPr>
            <w:r w:rsidRPr="00F3680D">
              <w:rPr>
                <w:sz w:val="22"/>
                <w:szCs w:val="22"/>
              </w:rPr>
              <w:t xml:space="preserve">The </w:t>
            </w:r>
            <w:r w:rsidR="002059C1" w:rsidRPr="00F3680D">
              <w:rPr>
                <w:sz w:val="22"/>
                <w:szCs w:val="22"/>
              </w:rPr>
              <w:t>Executive Director provide</w:t>
            </w:r>
            <w:r w:rsidR="003012FA" w:rsidRPr="00F3680D">
              <w:rPr>
                <w:sz w:val="22"/>
                <w:szCs w:val="22"/>
              </w:rPr>
              <w:t>s</w:t>
            </w:r>
            <w:r w:rsidR="002059C1" w:rsidRPr="00F3680D">
              <w:rPr>
                <w:sz w:val="22"/>
                <w:szCs w:val="22"/>
              </w:rPr>
              <w:t xml:space="preserve"> robust advice to Commissioners on </w:t>
            </w:r>
            <w:r w:rsidR="000F7AAD" w:rsidRPr="00F3680D">
              <w:rPr>
                <w:sz w:val="22"/>
                <w:szCs w:val="22"/>
              </w:rPr>
              <w:t xml:space="preserve">the strategy </w:t>
            </w:r>
            <w:r w:rsidR="002059C1" w:rsidRPr="00F3680D">
              <w:rPr>
                <w:sz w:val="22"/>
                <w:szCs w:val="22"/>
              </w:rPr>
              <w:t xml:space="preserve">and plan </w:t>
            </w:r>
            <w:r w:rsidR="000F7AAD" w:rsidRPr="00F3680D">
              <w:rPr>
                <w:sz w:val="22"/>
                <w:szCs w:val="22"/>
              </w:rPr>
              <w:t>to deliver on its Terms of Reference</w:t>
            </w:r>
          </w:p>
          <w:p w14:paraId="1A94A397" w14:textId="3D10ED8C" w:rsidR="00390325" w:rsidRPr="00F3680D" w:rsidRDefault="003012FA" w:rsidP="00390325">
            <w:pPr>
              <w:pStyle w:val="Tablebullet"/>
              <w:rPr>
                <w:sz w:val="22"/>
                <w:szCs w:val="22"/>
              </w:rPr>
            </w:pPr>
            <w:r w:rsidRPr="00F3680D">
              <w:rPr>
                <w:sz w:val="22"/>
                <w:szCs w:val="22"/>
              </w:rPr>
              <w:t>The</w:t>
            </w:r>
            <w:r w:rsidR="006273AC" w:rsidRPr="00F3680D">
              <w:rPr>
                <w:sz w:val="22"/>
                <w:szCs w:val="22"/>
              </w:rPr>
              <w:t xml:space="preserve"> </w:t>
            </w:r>
            <w:r w:rsidR="00390325" w:rsidRPr="00F3680D">
              <w:rPr>
                <w:sz w:val="22"/>
                <w:szCs w:val="22"/>
              </w:rPr>
              <w:t>operating model of the Inquiry</w:t>
            </w:r>
            <w:r w:rsidRPr="00F3680D">
              <w:rPr>
                <w:sz w:val="22"/>
                <w:szCs w:val="22"/>
              </w:rPr>
              <w:t xml:space="preserve"> is clear and efficient </w:t>
            </w:r>
          </w:p>
          <w:p w14:paraId="5354A1BC" w14:textId="77777777" w:rsidR="00390325" w:rsidRPr="00F3680D" w:rsidRDefault="00390325" w:rsidP="00390325">
            <w:pPr>
              <w:pStyle w:val="Tablebullet"/>
              <w:rPr>
                <w:sz w:val="22"/>
                <w:szCs w:val="22"/>
              </w:rPr>
            </w:pPr>
            <w:r w:rsidRPr="00F3680D">
              <w:rPr>
                <w:sz w:val="22"/>
                <w:szCs w:val="22"/>
              </w:rPr>
              <w:t xml:space="preserve">Authority and processes for decision making </w:t>
            </w:r>
            <w:r w:rsidR="000F7AAD" w:rsidRPr="00F3680D">
              <w:rPr>
                <w:sz w:val="22"/>
                <w:szCs w:val="22"/>
              </w:rPr>
              <w:t>are</w:t>
            </w:r>
            <w:r w:rsidRPr="00F3680D">
              <w:rPr>
                <w:sz w:val="22"/>
                <w:szCs w:val="22"/>
              </w:rPr>
              <w:t xml:space="preserve"> clear</w:t>
            </w:r>
          </w:p>
          <w:p w14:paraId="70CD86E1" w14:textId="425B9ECC" w:rsidR="00F65907" w:rsidRPr="00F3680D" w:rsidRDefault="00F65907" w:rsidP="00F3680D">
            <w:pPr>
              <w:pStyle w:val="Tablebullet"/>
              <w:numPr>
                <w:ilvl w:val="0"/>
                <w:numId w:val="0"/>
              </w:numPr>
              <w:rPr>
                <w:sz w:val="22"/>
                <w:szCs w:val="22"/>
              </w:rPr>
            </w:pPr>
          </w:p>
        </w:tc>
      </w:tr>
      <w:bookmarkEnd w:id="0"/>
      <w:tr w:rsidR="00F65907" w:rsidRPr="00F3680D" w14:paraId="08C3E99B" w14:textId="77777777" w:rsidTr="00D57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470" w:type="dxa"/>
            <w:tcBorders>
              <w:top w:val="single" w:sz="4" w:space="0" w:color="auto"/>
              <w:bottom w:val="single" w:sz="4" w:space="0" w:color="auto"/>
              <w:right w:val="single" w:sz="4" w:space="0" w:color="auto"/>
            </w:tcBorders>
            <w:hideMark/>
          </w:tcPr>
          <w:p w14:paraId="30DF08E4" w14:textId="77777777" w:rsidR="00F65907" w:rsidRPr="00F3680D" w:rsidRDefault="008F7DEF" w:rsidP="00F65837">
            <w:pPr>
              <w:pStyle w:val="Tablenormal0"/>
              <w:rPr>
                <w:b/>
                <w:bCs/>
                <w:sz w:val="22"/>
                <w:szCs w:val="22"/>
              </w:rPr>
            </w:pPr>
            <w:r w:rsidRPr="00F3680D">
              <w:rPr>
                <w:b/>
                <w:bCs/>
                <w:sz w:val="22"/>
                <w:szCs w:val="22"/>
              </w:rPr>
              <w:t xml:space="preserve">Establish, Drive and Deliver Programme of Work </w:t>
            </w:r>
          </w:p>
          <w:p w14:paraId="7764CD6B" w14:textId="77777777" w:rsidR="00E976AC" w:rsidRPr="00F3680D" w:rsidRDefault="008F7DEF" w:rsidP="003012FA">
            <w:pPr>
              <w:pStyle w:val="Tablebullet"/>
              <w:numPr>
                <w:ilvl w:val="0"/>
                <w:numId w:val="27"/>
              </w:numPr>
              <w:rPr>
                <w:sz w:val="22"/>
                <w:szCs w:val="22"/>
              </w:rPr>
            </w:pPr>
            <w:r w:rsidRPr="00F3680D">
              <w:rPr>
                <w:sz w:val="22"/>
                <w:szCs w:val="22"/>
              </w:rPr>
              <w:t xml:space="preserve">Develop and establish a programme of work and timeline </w:t>
            </w:r>
            <w:r w:rsidR="00BC05BE" w:rsidRPr="00F3680D">
              <w:rPr>
                <w:sz w:val="22"/>
                <w:szCs w:val="22"/>
              </w:rPr>
              <w:t xml:space="preserve">to give effect to the strategy for delivering the Terms of Reference </w:t>
            </w:r>
            <w:r w:rsidR="00390325" w:rsidRPr="00F3680D">
              <w:rPr>
                <w:sz w:val="22"/>
                <w:szCs w:val="22"/>
              </w:rPr>
              <w:t xml:space="preserve">and supporting </w:t>
            </w:r>
            <w:r w:rsidR="00E976AC" w:rsidRPr="00F3680D">
              <w:rPr>
                <w:sz w:val="22"/>
                <w:szCs w:val="22"/>
              </w:rPr>
              <w:t>communications plan</w:t>
            </w:r>
          </w:p>
          <w:p w14:paraId="712983B8" w14:textId="0D0C1654" w:rsidR="003012FA" w:rsidRPr="00F3680D" w:rsidRDefault="003012FA" w:rsidP="003012FA">
            <w:pPr>
              <w:pStyle w:val="Tablebullet"/>
              <w:numPr>
                <w:ilvl w:val="0"/>
                <w:numId w:val="27"/>
              </w:numPr>
              <w:rPr>
                <w:sz w:val="22"/>
                <w:szCs w:val="22"/>
              </w:rPr>
            </w:pPr>
            <w:r w:rsidRPr="00F3680D">
              <w:rPr>
                <w:sz w:val="22"/>
                <w:szCs w:val="22"/>
              </w:rPr>
              <w:t>Provide regular updates to the Chair</w:t>
            </w:r>
            <w:r w:rsidR="00224737" w:rsidRPr="00F3680D">
              <w:rPr>
                <w:sz w:val="22"/>
                <w:szCs w:val="22"/>
              </w:rPr>
              <w:t>, and through the Chair to the</w:t>
            </w:r>
            <w:r w:rsidRPr="00F3680D">
              <w:rPr>
                <w:sz w:val="22"/>
                <w:szCs w:val="22"/>
              </w:rPr>
              <w:t xml:space="preserve"> Minister on progress against the work programme – identifying potential risks, any issues, and possible mitigation strategies</w:t>
            </w:r>
          </w:p>
          <w:p w14:paraId="60AF21CD" w14:textId="77777777" w:rsidR="003012FA" w:rsidRPr="00F3680D" w:rsidRDefault="003012FA" w:rsidP="003012FA">
            <w:pPr>
              <w:pStyle w:val="Tablebullet"/>
              <w:numPr>
                <w:ilvl w:val="0"/>
                <w:numId w:val="27"/>
              </w:numPr>
              <w:rPr>
                <w:sz w:val="22"/>
                <w:szCs w:val="22"/>
              </w:rPr>
            </w:pPr>
            <w:r w:rsidRPr="00F3680D">
              <w:rPr>
                <w:sz w:val="22"/>
                <w:szCs w:val="22"/>
              </w:rPr>
              <w:t>Establish productive relationships across DIA to ensure processes work well, accountabilities are clear, and risks and issues signalled early</w:t>
            </w:r>
          </w:p>
          <w:p w14:paraId="39B0AE55" w14:textId="23C15BED" w:rsidR="00390325" w:rsidRPr="00F3680D" w:rsidRDefault="00390325" w:rsidP="003012FA">
            <w:pPr>
              <w:pStyle w:val="Tablebullet"/>
              <w:numPr>
                <w:ilvl w:val="0"/>
                <w:numId w:val="27"/>
              </w:numPr>
              <w:rPr>
                <w:sz w:val="22"/>
                <w:szCs w:val="22"/>
              </w:rPr>
            </w:pPr>
            <w:r w:rsidRPr="00F3680D">
              <w:rPr>
                <w:sz w:val="22"/>
                <w:szCs w:val="22"/>
              </w:rPr>
              <w:t xml:space="preserve">Ensure that Te </w:t>
            </w:r>
            <w:proofErr w:type="spellStart"/>
            <w:r w:rsidRPr="00F3680D">
              <w:rPr>
                <w:sz w:val="22"/>
                <w:szCs w:val="22"/>
              </w:rPr>
              <w:t>Ao</w:t>
            </w:r>
            <w:proofErr w:type="spellEnd"/>
            <w:r w:rsidRPr="00F3680D">
              <w:rPr>
                <w:sz w:val="22"/>
                <w:szCs w:val="22"/>
              </w:rPr>
              <w:t xml:space="preserve"> Māori informs and guides the establishment and delivery of the work programme</w:t>
            </w:r>
          </w:p>
          <w:p w14:paraId="4A1CCC31" w14:textId="77777777" w:rsidR="008F7DEF" w:rsidRPr="00F3680D" w:rsidRDefault="00390325" w:rsidP="003012FA">
            <w:pPr>
              <w:pStyle w:val="Tablebullet"/>
              <w:numPr>
                <w:ilvl w:val="0"/>
                <w:numId w:val="27"/>
              </w:numPr>
              <w:rPr>
                <w:sz w:val="22"/>
                <w:szCs w:val="22"/>
              </w:rPr>
            </w:pPr>
            <w:r w:rsidRPr="00F3680D">
              <w:rPr>
                <w:sz w:val="22"/>
                <w:szCs w:val="22"/>
              </w:rPr>
              <w:t xml:space="preserve">Ensure </w:t>
            </w:r>
            <w:r w:rsidR="008F7DEF" w:rsidRPr="00F3680D">
              <w:rPr>
                <w:sz w:val="22"/>
                <w:szCs w:val="22"/>
              </w:rPr>
              <w:t>the appropriate structures, skills, systems</w:t>
            </w:r>
            <w:r w:rsidR="00A83479" w:rsidRPr="00F3680D">
              <w:rPr>
                <w:sz w:val="22"/>
                <w:szCs w:val="22"/>
              </w:rPr>
              <w:t>,</w:t>
            </w:r>
            <w:r w:rsidR="008F7DEF" w:rsidRPr="00F3680D">
              <w:rPr>
                <w:sz w:val="22"/>
                <w:szCs w:val="22"/>
              </w:rPr>
              <w:t xml:space="preserve"> </w:t>
            </w:r>
            <w:r w:rsidR="003045C8" w:rsidRPr="00F3680D">
              <w:rPr>
                <w:sz w:val="22"/>
                <w:szCs w:val="22"/>
              </w:rPr>
              <w:t xml:space="preserve">and </w:t>
            </w:r>
            <w:r w:rsidR="008F7DEF" w:rsidRPr="00F3680D">
              <w:rPr>
                <w:sz w:val="22"/>
                <w:szCs w:val="22"/>
              </w:rPr>
              <w:t>processes</w:t>
            </w:r>
            <w:r w:rsidR="00A83479" w:rsidRPr="00F3680D">
              <w:rPr>
                <w:sz w:val="22"/>
                <w:szCs w:val="22"/>
              </w:rPr>
              <w:t xml:space="preserve"> </w:t>
            </w:r>
            <w:r w:rsidRPr="00F3680D">
              <w:rPr>
                <w:sz w:val="22"/>
                <w:szCs w:val="22"/>
              </w:rPr>
              <w:t xml:space="preserve">are in place </w:t>
            </w:r>
            <w:r w:rsidR="008F7DEF" w:rsidRPr="00F3680D">
              <w:rPr>
                <w:sz w:val="22"/>
                <w:szCs w:val="22"/>
              </w:rPr>
              <w:t>to deliver the programme of work</w:t>
            </w:r>
            <w:r w:rsidR="0004558B" w:rsidRPr="00F3680D">
              <w:rPr>
                <w:sz w:val="22"/>
                <w:szCs w:val="22"/>
              </w:rPr>
              <w:t xml:space="preserve"> </w:t>
            </w:r>
            <w:r w:rsidRPr="00F3680D">
              <w:rPr>
                <w:sz w:val="22"/>
                <w:szCs w:val="22"/>
              </w:rPr>
              <w:t>– including risk register and appropriate monitoring and reporting processes</w:t>
            </w:r>
          </w:p>
          <w:p w14:paraId="4DD2616C" w14:textId="77777777" w:rsidR="00390325" w:rsidRPr="00F3680D" w:rsidRDefault="00390325" w:rsidP="003012FA">
            <w:pPr>
              <w:pStyle w:val="Tablebullet"/>
              <w:numPr>
                <w:ilvl w:val="0"/>
                <w:numId w:val="27"/>
              </w:numPr>
              <w:rPr>
                <w:sz w:val="22"/>
                <w:szCs w:val="22"/>
              </w:rPr>
            </w:pPr>
            <w:r w:rsidRPr="00F3680D">
              <w:rPr>
                <w:sz w:val="22"/>
                <w:szCs w:val="22"/>
              </w:rPr>
              <w:t xml:space="preserve">Establish appropriate budgets and proactively manage and monitor the overall Royal Commission budget in accordance with delegations and meeting reporting requirements </w:t>
            </w:r>
          </w:p>
          <w:p w14:paraId="1AF03C1C" w14:textId="77777777" w:rsidR="008F7DEF" w:rsidRPr="00F3680D" w:rsidRDefault="00390325" w:rsidP="003012FA">
            <w:pPr>
              <w:pStyle w:val="Tablebullet"/>
              <w:numPr>
                <w:ilvl w:val="0"/>
                <w:numId w:val="27"/>
              </w:numPr>
              <w:rPr>
                <w:sz w:val="22"/>
                <w:szCs w:val="22"/>
              </w:rPr>
            </w:pPr>
            <w:r w:rsidRPr="00F3680D">
              <w:rPr>
                <w:sz w:val="22"/>
                <w:szCs w:val="22"/>
              </w:rPr>
              <w:t>Recruit</w:t>
            </w:r>
            <w:r w:rsidR="008F7DEF" w:rsidRPr="00F3680D">
              <w:rPr>
                <w:sz w:val="22"/>
                <w:szCs w:val="22"/>
              </w:rPr>
              <w:t xml:space="preserve"> appropriately skilled teams</w:t>
            </w:r>
            <w:r w:rsidR="00A83479" w:rsidRPr="00F3680D">
              <w:rPr>
                <w:sz w:val="22"/>
                <w:szCs w:val="22"/>
              </w:rPr>
              <w:t xml:space="preserve"> to deliver the programme of work</w:t>
            </w:r>
          </w:p>
          <w:p w14:paraId="0D3EC9C7" w14:textId="77777777" w:rsidR="00A83479" w:rsidRPr="00F3680D" w:rsidRDefault="00A83479" w:rsidP="003012FA">
            <w:pPr>
              <w:pStyle w:val="Tablebullet"/>
              <w:numPr>
                <w:ilvl w:val="0"/>
                <w:numId w:val="27"/>
              </w:numPr>
              <w:rPr>
                <w:sz w:val="22"/>
                <w:szCs w:val="22"/>
              </w:rPr>
            </w:pPr>
            <w:r w:rsidRPr="00F3680D">
              <w:rPr>
                <w:sz w:val="22"/>
                <w:szCs w:val="22"/>
              </w:rPr>
              <w:t>Drive delivery of key milestones and deliverables, ensuring that timelines are met within budget</w:t>
            </w:r>
          </w:p>
          <w:p w14:paraId="6CFF4521" w14:textId="4D61F9A2" w:rsidR="006273AC" w:rsidRPr="00F3680D" w:rsidRDefault="00BC460A" w:rsidP="00F3680D">
            <w:pPr>
              <w:pStyle w:val="Tablebullet"/>
              <w:numPr>
                <w:ilvl w:val="0"/>
                <w:numId w:val="27"/>
              </w:numPr>
              <w:rPr>
                <w:bCs/>
                <w:sz w:val="22"/>
                <w:szCs w:val="22"/>
              </w:rPr>
            </w:pPr>
            <w:r w:rsidRPr="00F3680D">
              <w:rPr>
                <w:sz w:val="22"/>
                <w:szCs w:val="22"/>
              </w:rPr>
              <w:t xml:space="preserve">Adhere to all DIA </w:t>
            </w:r>
            <w:r w:rsidR="003012FA" w:rsidRPr="00F3680D">
              <w:rPr>
                <w:sz w:val="22"/>
                <w:szCs w:val="22"/>
              </w:rPr>
              <w:t xml:space="preserve">and public sector </w:t>
            </w:r>
            <w:r w:rsidRPr="00F3680D">
              <w:rPr>
                <w:sz w:val="22"/>
                <w:szCs w:val="22"/>
              </w:rPr>
              <w:t>policies and procedures, identifying and seeking exemptions where necessary</w:t>
            </w:r>
          </w:p>
        </w:tc>
        <w:tc>
          <w:tcPr>
            <w:tcW w:w="4044" w:type="dxa"/>
            <w:tcBorders>
              <w:top w:val="single" w:sz="4" w:space="0" w:color="auto"/>
              <w:left w:val="single" w:sz="4" w:space="0" w:color="auto"/>
              <w:bottom w:val="single" w:sz="4" w:space="0" w:color="auto"/>
            </w:tcBorders>
            <w:hideMark/>
          </w:tcPr>
          <w:p w14:paraId="180C060B" w14:textId="77777777" w:rsidR="00F65907" w:rsidRPr="00F3680D" w:rsidRDefault="000F7AAD" w:rsidP="00F65907">
            <w:pPr>
              <w:pStyle w:val="Tablebullet"/>
              <w:numPr>
                <w:ilvl w:val="0"/>
                <w:numId w:val="27"/>
              </w:numPr>
              <w:rPr>
                <w:sz w:val="22"/>
                <w:szCs w:val="22"/>
              </w:rPr>
            </w:pPr>
            <w:r w:rsidRPr="00F3680D">
              <w:rPr>
                <w:sz w:val="22"/>
                <w:szCs w:val="22"/>
              </w:rPr>
              <w:t>A comprehensive programme of work, with clear milestones, deliverables and timelines</w:t>
            </w:r>
          </w:p>
          <w:p w14:paraId="20509290" w14:textId="77777777" w:rsidR="000F7AAD" w:rsidRPr="00F3680D" w:rsidRDefault="000F7AAD" w:rsidP="00F65907">
            <w:pPr>
              <w:pStyle w:val="Tablebullet"/>
              <w:numPr>
                <w:ilvl w:val="0"/>
                <w:numId w:val="27"/>
              </w:numPr>
              <w:rPr>
                <w:sz w:val="22"/>
                <w:szCs w:val="22"/>
              </w:rPr>
            </w:pPr>
            <w:r w:rsidRPr="00F3680D">
              <w:rPr>
                <w:sz w:val="22"/>
                <w:szCs w:val="22"/>
              </w:rPr>
              <w:t>Achievement of milestones and deliverables in accordance with timeline and within budget</w:t>
            </w:r>
          </w:p>
          <w:p w14:paraId="4E136B7D" w14:textId="77777777" w:rsidR="000F7AAD" w:rsidRPr="00F3680D" w:rsidRDefault="000F7AAD" w:rsidP="00F65907">
            <w:pPr>
              <w:pStyle w:val="Tablebullet"/>
              <w:numPr>
                <w:ilvl w:val="0"/>
                <w:numId w:val="27"/>
              </w:numPr>
              <w:rPr>
                <w:sz w:val="22"/>
                <w:szCs w:val="22"/>
              </w:rPr>
            </w:pPr>
            <w:r w:rsidRPr="00F3680D">
              <w:rPr>
                <w:sz w:val="22"/>
                <w:szCs w:val="22"/>
              </w:rPr>
              <w:t xml:space="preserve">Meaningful progress and risk reporting </w:t>
            </w:r>
          </w:p>
          <w:p w14:paraId="5A0F77B2" w14:textId="77777777" w:rsidR="003012FA" w:rsidRPr="00F3680D" w:rsidRDefault="003012FA" w:rsidP="00F65907">
            <w:pPr>
              <w:pStyle w:val="Tablebullet"/>
              <w:numPr>
                <w:ilvl w:val="0"/>
                <w:numId w:val="27"/>
              </w:numPr>
              <w:rPr>
                <w:sz w:val="22"/>
                <w:szCs w:val="22"/>
              </w:rPr>
            </w:pPr>
            <w:r w:rsidRPr="00F3680D">
              <w:rPr>
                <w:sz w:val="22"/>
                <w:szCs w:val="22"/>
              </w:rPr>
              <w:t xml:space="preserve">The Executive Director takes a “no surprises” approach with the Chair and DIA </w:t>
            </w:r>
          </w:p>
          <w:p w14:paraId="1E6FC6FA" w14:textId="0F0FA845" w:rsidR="003012FA" w:rsidRPr="00F3680D" w:rsidRDefault="003012FA" w:rsidP="00F65907">
            <w:pPr>
              <w:pStyle w:val="Tablebullet"/>
              <w:numPr>
                <w:ilvl w:val="0"/>
                <w:numId w:val="27"/>
              </w:numPr>
              <w:rPr>
                <w:sz w:val="22"/>
                <w:szCs w:val="22"/>
              </w:rPr>
            </w:pPr>
            <w:r w:rsidRPr="00F3680D">
              <w:rPr>
                <w:sz w:val="22"/>
                <w:szCs w:val="22"/>
              </w:rPr>
              <w:t xml:space="preserve">Strong relationships with Māori </w:t>
            </w:r>
            <w:proofErr w:type="spellStart"/>
            <w:r w:rsidRPr="00F3680D">
              <w:rPr>
                <w:sz w:val="22"/>
                <w:szCs w:val="22"/>
              </w:rPr>
              <w:t>kaimahi</w:t>
            </w:r>
            <w:proofErr w:type="spellEnd"/>
            <w:r w:rsidRPr="00F3680D">
              <w:rPr>
                <w:sz w:val="22"/>
                <w:szCs w:val="22"/>
              </w:rPr>
              <w:t xml:space="preserve">, Māori Commissioners, </w:t>
            </w:r>
            <w:r w:rsidR="00224737" w:rsidRPr="00F3680D">
              <w:rPr>
                <w:sz w:val="22"/>
                <w:szCs w:val="22"/>
              </w:rPr>
              <w:t xml:space="preserve">Te </w:t>
            </w:r>
            <w:proofErr w:type="spellStart"/>
            <w:r w:rsidR="00224737" w:rsidRPr="00F3680D">
              <w:rPr>
                <w:sz w:val="22"/>
                <w:szCs w:val="22"/>
              </w:rPr>
              <w:t>Taumata</w:t>
            </w:r>
            <w:proofErr w:type="spellEnd"/>
            <w:r w:rsidR="00224737" w:rsidRPr="00F3680D">
              <w:rPr>
                <w:sz w:val="22"/>
                <w:szCs w:val="22"/>
              </w:rPr>
              <w:t xml:space="preserve"> Advisory Group</w:t>
            </w:r>
            <w:r w:rsidRPr="00F3680D">
              <w:rPr>
                <w:sz w:val="22"/>
                <w:szCs w:val="22"/>
              </w:rPr>
              <w:t xml:space="preserve">, and Māori/iwi stakeholders are developed based on Te </w:t>
            </w:r>
            <w:proofErr w:type="spellStart"/>
            <w:r w:rsidRPr="00F3680D">
              <w:rPr>
                <w:sz w:val="22"/>
                <w:szCs w:val="22"/>
              </w:rPr>
              <w:t>Ao</w:t>
            </w:r>
            <w:proofErr w:type="spellEnd"/>
            <w:r w:rsidRPr="00F3680D">
              <w:rPr>
                <w:sz w:val="22"/>
                <w:szCs w:val="22"/>
              </w:rPr>
              <w:t xml:space="preserve"> Māori</w:t>
            </w:r>
          </w:p>
          <w:p w14:paraId="41311A18" w14:textId="77777777" w:rsidR="000F7AAD" w:rsidRPr="00F3680D" w:rsidRDefault="000F7AAD" w:rsidP="00F65907">
            <w:pPr>
              <w:pStyle w:val="Tablebullet"/>
              <w:numPr>
                <w:ilvl w:val="0"/>
                <w:numId w:val="27"/>
              </w:numPr>
              <w:rPr>
                <w:sz w:val="22"/>
                <w:szCs w:val="22"/>
              </w:rPr>
            </w:pPr>
            <w:r w:rsidRPr="00F3680D">
              <w:rPr>
                <w:sz w:val="22"/>
                <w:szCs w:val="22"/>
              </w:rPr>
              <w:t>A Secretariat that has the necessary skills, systems and processes to deliver the programme of work</w:t>
            </w:r>
          </w:p>
          <w:p w14:paraId="13C2EA2E" w14:textId="77777777" w:rsidR="003012FA" w:rsidRPr="00F3680D" w:rsidRDefault="003012FA" w:rsidP="00F65907">
            <w:pPr>
              <w:pStyle w:val="Tablebullet"/>
              <w:numPr>
                <w:ilvl w:val="0"/>
                <w:numId w:val="27"/>
              </w:numPr>
              <w:rPr>
                <w:sz w:val="22"/>
                <w:szCs w:val="22"/>
              </w:rPr>
            </w:pPr>
            <w:r w:rsidRPr="00F3680D">
              <w:rPr>
                <w:sz w:val="22"/>
                <w:szCs w:val="22"/>
              </w:rPr>
              <w:t>Work programme milestones are met, and the Inquiry reports within time and budget</w:t>
            </w:r>
          </w:p>
          <w:p w14:paraId="5CE999F3" w14:textId="77777777" w:rsidR="000F7AAD" w:rsidRPr="00F3680D" w:rsidRDefault="000F7AAD" w:rsidP="00F65907">
            <w:pPr>
              <w:pStyle w:val="Tablebullet"/>
              <w:numPr>
                <w:ilvl w:val="0"/>
                <w:numId w:val="27"/>
              </w:numPr>
              <w:rPr>
                <w:sz w:val="22"/>
                <w:szCs w:val="22"/>
              </w:rPr>
            </w:pPr>
            <w:r w:rsidRPr="00F3680D">
              <w:rPr>
                <w:sz w:val="22"/>
                <w:szCs w:val="22"/>
              </w:rPr>
              <w:t>The Executive Director operating within delegations</w:t>
            </w:r>
            <w:r w:rsidR="00603318" w:rsidRPr="00F3680D">
              <w:rPr>
                <w:sz w:val="22"/>
                <w:szCs w:val="22"/>
              </w:rPr>
              <w:t xml:space="preserve"> and no breaches of DIA or public sector policies and procedures (e.g., Treasury guidelines, OAG guidelines, Procurement Rules)</w:t>
            </w:r>
          </w:p>
        </w:tc>
      </w:tr>
      <w:tr w:rsidR="00F65907" w:rsidRPr="00F3680D" w14:paraId="79F9A668" w14:textId="77777777" w:rsidTr="00D57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5470" w:type="dxa"/>
            <w:tcBorders>
              <w:top w:val="single" w:sz="4" w:space="0" w:color="auto"/>
              <w:bottom w:val="single" w:sz="4" w:space="0" w:color="auto"/>
              <w:right w:val="single" w:sz="4" w:space="0" w:color="auto"/>
            </w:tcBorders>
            <w:hideMark/>
          </w:tcPr>
          <w:p w14:paraId="5EE5891E" w14:textId="77777777" w:rsidR="00F65907" w:rsidRPr="00F3680D" w:rsidRDefault="008F7DEF" w:rsidP="00F65837">
            <w:pPr>
              <w:pStyle w:val="Tablenormal0"/>
              <w:rPr>
                <w:b/>
                <w:bCs/>
                <w:sz w:val="22"/>
                <w:szCs w:val="22"/>
              </w:rPr>
            </w:pPr>
            <w:r w:rsidRPr="00F3680D">
              <w:rPr>
                <w:b/>
                <w:bCs/>
                <w:sz w:val="22"/>
                <w:szCs w:val="22"/>
              </w:rPr>
              <w:t>Strategic Stakeholder Engagement</w:t>
            </w:r>
          </w:p>
          <w:p w14:paraId="26CA2B60" w14:textId="0A6A67A7" w:rsidR="00BC460A" w:rsidRPr="00F3680D" w:rsidRDefault="00BC460A" w:rsidP="00F65907">
            <w:pPr>
              <w:pStyle w:val="Tablebullet"/>
              <w:numPr>
                <w:ilvl w:val="0"/>
                <w:numId w:val="27"/>
              </w:numPr>
              <w:rPr>
                <w:sz w:val="22"/>
                <w:szCs w:val="22"/>
              </w:rPr>
            </w:pPr>
            <w:r w:rsidRPr="00F3680D">
              <w:rPr>
                <w:sz w:val="22"/>
                <w:szCs w:val="22"/>
              </w:rPr>
              <w:t xml:space="preserve">Develop a </w:t>
            </w:r>
            <w:r w:rsidR="00603318" w:rsidRPr="00F3680D">
              <w:rPr>
                <w:sz w:val="22"/>
                <w:szCs w:val="22"/>
              </w:rPr>
              <w:t>fit for purpose</w:t>
            </w:r>
            <w:r w:rsidR="000839A8" w:rsidRPr="00F3680D">
              <w:rPr>
                <w:sz w:val="22"/>
                <w:szCs w:val="22"/>
              </w:rPr>
              <w:t xml:space="preserve"> </w:t>
            </w:r>
            <w:r w:rsidRPr="00F3680D">
              <w:rPr>
                <w:sz w:val="22"/>
                <w:szCs w:val="22"/>
              </w:rPr>
              <w:t>stakeholder engagement and communication plan</w:t>
            </w:r>
          </w:p>
          <w:p w14:paraId="34EED5CC" w14:textId="77777777" w:rsidR="00BC05BE" w:rsidRPr="00F3680D" w:rsidRDefault="00BC05BE" w:rsidP="00F65907">
            <w:pPr>
              <w:pStyle w:val="Tablebullet"/>
              <w:numPr>
                <w:ilvl w:val="0"/>
                <w:numId w:val="27"/>
              </w:numPr>
              <w:rPr>
                <w:sz w:val="22"/>
                <w:szCs w:val="22"/>
              </w:rPr>
            </w:pPr>
            <w:r w:rsidRPr="00F3680D">
              <w:rPr>
                <w:sz w:val="22"/>
                <w:szCs w:val="22"/>
              </w:rPr>
              <w:lastRenderedPageBreak/>
              <w:t>Proactively engage with key stakeholders who are impacted by, or have an interest in, the work of the Inquiry</w:t>
            </w:r>
          </w:p>
          <w:p w14:paraId="498CB75E" w14:textId="77777777" w:rsidR="0004558B" w:rsidRPr="00F3680D" w:rsidRDefault="0004558B" w:rsidP="00F65907">
            <w:pPr>
              <w:pStyle w:val="Tablebullet"/>
              <w:numPr>
                <w:ilvl w:val="0"/>
                <w:numId w:val="27"/>
              </w:numPr>
              <w:rPr>
                <w:sz w:val="22"/>
                <w:szCs w:val="22"/>
              </w:rPr>
            </w:pPr>
            <w:r w:rsidRPr="00F3680D">
              <w:rPr>
                <w:sz w:val="22"/>
                <w:szCs w:val="22"/>
              </w:rPr>
              <w:t xml:space="preserve">Ensure that engagement processes recognise and are responsive to Te </w:t>
            </w:r>
            <w:proofErr w:type="spellStart"/>
            <w:r w:rsidRPr="00F3680D">
              <w:rPr>
                <w:sz w:val="22"/>
                <w:szCs w:val="22"/>
              </w:rPr>
              <w:t>Ao</w:t>
            </w:r>
            <w:proofErr w:type="spellEnd"/>
            <w:r w:rsidRPr="00F3680D">
              <w:rPr>
                <w:sz w:val="22"/>
                <w:szCs w:val="22"/>
              </w:rPr>
              <w:t xml:space="preserve"> Māori</w:t>
            </w:r>
          </w:p>
          <w:p w14:paraId="36637D32" w14:textId="77777777" w:rsidR="00F65907" w:rsidRPr="00F3680D" w:rsidRDefault="00BC05BE" w:rsidP="00F65907">
            <w:pPr>
              <w:pStyle w:val="Tablebullet"/>
              <w:numPr>
                <w:ilvl w:val="0"/>
                <w:numId w:val="27"/>
              </w:numPr>
              <w:rPr>
                <w:sz w:val="22"/>
                <w:szCs w:val="22"/>
              </w:rPr>
            </w:pPr>
            <w:r w:rsidRPr="00F3680D">
              <w:rPr>
                <w:sz w:val="22"/>
                <w:szCs w:val="22"/>
              </w:rPr>
              <w:t xml:space="preserve">Facilitate and manage relationships between key stakeholders and the Royal Commission </w:t>
            </w:r>
            <w:r w:rsidR="009E70C0" w:rsidRPr="00F3680D">
              <w:rPr>
                <w:sz w:val="22"/>
                <w:szCs w:val="22"/>
              </w:rPr>
              <w:t>of Inquiry</w:t>
            </w:r>
          </w:p>
          <w:p w14:paraId="21C6BE28" w14:textId="77777777" w:rsidR="0004558B" w:rsidRPr="00F3680D" w:rsidRDefault="0004558B" w:rsidP="00F65907">
            <w:pPr>
              <w:pStyle w:val="Tablebullet"/>
              <w:numPr>
                <w:ilvl w:val="0"/>
                <w:numId w:val="27"/>
              </w:numPr>
              <w:rPr>
                <w:sz w:val="22"/>
                <w:szCs w:val="22"/>
              </w:rPr>
            </w:pPr>
            <w:r w:rsidRPr="00F3680D">
              <w:rPr>
                <w:sz w:val="22"/>
                <w:szCs w:val="22"/>
              </w:rPr>
              <w:t>Ensure that stakeholder input to the Inquiry is accurately recorded and there are appropriate feedback loops established</w:t>
            </w:r>
          </w:p>
          <w:p w14:paraId="6079D9F3" w14:textId="77777777" w:rsidR="0004558B" w:rsidRPr="00F3680D" w:rsidRDefault="00BC460A" w:rsidP="00390325">
            <w:pPr>
              <w:pStyle w:val="Tablebullet"/>
              <w:numPr>
                <w:ilvl w:val="0"/>
                <w:numId w:val="27"/>
              </w:numPr>
              <w:rPr>
                <w:sz w:val="22"/>
                <w:szCs w:val="22"/>
              </w:rPr>
            </w:pPr>
            <w:r w:rsidRPr="00F3680D">
              <w:rPr>
                <w:sz w:val="22"/>
                <w:szCs w:val="22"/>
              </w:rPr>
              <w:t>Work to ensure that dialogue between the stakeholders and the commission/Secretariat remains open and constructive</w:t>
            </w:r>
          </w:p>
        </w:tc>
        <w:tc>
          <w:tcPr>
            <w:tcW w:w="4044" w:type="dxa"/>
            <w:tcBorders>
              <w:top w:val="single" w:sz="4" w:space="0" w:color="auto"/>
              <w:left w:val="single" w:sz="4" w:space="0" w:color="auto"/>
              <w:bottom w:val="single" w:sz="4" w:space="0" w:color="auto"/>
            </w:tcBorders>
            <w:hideMark/>
          </w:tcPr>
          <w:p w14:paraId="3DAB1BD0" w14:textId="77777777" w:rsidR="00765523" w:rsidRPr="00F3680D" w:rsidRDefault="00765523" w:rsidP="00F65907">
            <w:pPr>
              <w:pStyle w:val="Tablebullet"/>
              <w:numPr>
                <w:ilvl w:val="0"/>
                <w:numId w:val="27"/>
              </w:numPr>
              <w:rPr>
                <w:sz w:val="22"/>
                <w:szCs w:val="22"/>
              </w:rPr>
            </w:pPr>
            <w:r w:rsidRPr="00F3680D">
              <w:rPr>
                <w:sz w:val="22"/>
                <w:szCs w:val="22"/>
              </w:rPr>
              <w:lastRenderedPageBreak/>
              <w:t>Stakeholders understand the Inquiry process and how to engage</w:t>
            </w:r>
          </w:p>
          <w:p w14:paraId="6856E0EA" w14:textId="77777777" w:rsidR="00F65907" w:rsidRPr="00F3680D" w:rsidRDefault="000F7AAD" w:rsidP="00F65907">
            <w:pPr>
              <w:pStyle w:val="Tablebullet"/>
              <w:numPr>
                <w:ilvl w:val="0"/>
                <w:numId w:val="27"/>
              </w:numPr>
              <w:rPr>
                <w:sz w:val="22"/>
                <w:szCs w:val="22"/>
              </w:rPr>
            </w:pPr>
            <w:r w:rsidRPr="00F3680D">
              <w:rPr>
                <w:sz w:val="22"/>
                <w:szCs w:val="22"/>
              </w:rPr>
              <w:lastRenderedPageBreak/>
              <w:t xml:space="preserve">Stakeholders </w:t>
            </w:r>
            <w:r w:rsidR="00765523" w:rsidRPr="00F3680D">
              <w:rPr>
                <w:sz w:val="22"/>
                <w:szCs w:val="22"/>
              </w:rPr>
              <w:t>willing to engage with the Inquiry to tell their story and provide evidence</w:t>
            </w:r>
          </w:p>
          <w:p w14:paraId="67FF4F7E" w14:textId="77777777" w:rsidR="00765523" w:rsidRPr="00F3680D" w:rsidRDefault="00765523" w:rsidP="00F65907">
            <w:pPr>
              <w:pStyle w:val="Tablebullet"/>
              <w:numPr>
                <w:ilvl w:val="0"/>
                <w:numId w:val="27"/>
              </w:numPr>
              <w:rPr>
                <w:sz w:val="22"/>
                <w:szCs w:val="22"/>
              </w:rPr>
            </w:pPr>
            <w:r w:rsidRPr="00F3680D">
              <w:rPr>
                <w:sz w:val="22"/>
                <w:szCs w:val="22"/>
              </w:rPr>
              <w:t>Stakeholders feel that they have been listened to understand how their information will be used</w:t>
            </w:r>
          </w:p>
          <w:p w14:paraId="4899707C" w14:textId="77777777" w:rsidR="00765523" w:rsidRPr="00F3680D" w:rsidRDefault="00765523" w:rsidP="00F65907">
            <w:pPr>
              <w:pStyle w:val="Tablebullet"/>
              <w:numPr>
                <w:ilvl w:val="0"/>
                <w:numId w:val="27"/>
              </w:numPr>
              <w:rPr>
                <w:sz w:val="22"/>
                <w:szCs w:val="22"/>
              </w:rPr>
            </w:pPr>
            <w:r w:rsidRPr="00F3680D">
              <w:rPr>
                <w:sz w:val="22"/>
                <w:szCs w:val="22"/>
              </w:rPr>
              <w:t>There is open constructive dialogue between the Inquiry and key stakeholders</w:t>
            </w:r>
          </w:p>
          <w:p w14:paraId="417D2B79" w14:textId="77777777" w:rsidR="00603318" w:rsidRPr="00F3680D" w:rsidRDefault="00603318" w:rsidP="00F65907">
            <w:pPr>
              <w:pStyle w:val="Tablebullet"/>
              <w:numPr>
                <w:ilvl w:val="0"/>
                <w:numId w:val="27"/>
              </w:numPr>
              <w:rPr>
                <w:sz w:val="22"/>
                <w:szCs w:val="22"/>
              </w:rPr>
            </w:pPr>
            <w:r w:rsidRPr="00F3680D">
              <w:rPr>
                <w:sz w:val="22"/>
                <w:szCs w:val="22"/>
              </w:rPr>
              <w:t>Advice on culturally appropriate engagement is provided to the Inquiry</w:t>
            </w:r>
          </w:p>
        </w:tc>
      </w:tr>
      <w:tr w:rsidR="00BC460A" w:rsidRPr="00F3680D" w14:paraId="34DC9DB8" w14:textId="77777777" w:rsidTr="00D57265">
        <w:trPr>
          <w:gridAfter w:val="1"/>
          <w:wAfter w:w="7" w:type="dxa"/>
        </w:trPr>
        <w:tc>
          <w:tcPr>
            <w:tcW w:w="5470" w:type="dxa"/>
            <w:tcBorders>
              <w:top w:val="single" w:sz="4" w:space="0" w:color="auto"/>
              <w:left w:val="nil"/>
              <w:bottom w:val="single" w:sz="4" w:space="0" w:color="auto"/>
              <w:right w:val="single" w:sz="4" w:space="0" w:color="auto"/>
            </w:tcBorders>
          </w:tcPr>
          <w:p w14:paraId="738F7333" w14:textId="77777777" w:rsidR="00BC460A" w:rsidRPr="00F3680D" w:rsidRDefault="00BC460A" w:rsidP="00F65837">
            <w:pPr>
              <w:pStyle w:val="Tablenormal0"/>
              <w:rPr>
                <w:b/>
                <w:bCs/>
                <w:sz w:val="22"/>
                <w:szCs w:val="22"/>
              </w:rPr>
            </w:pPr>
            <w:r w:rsidRPr="00F3680D">
              <w:rPr>
                <w:b/>
                <w:bCs/>
                <w:sz w:val="22"/>
                <w:szCs w:val="22"/>
              </w:rPr>
              <w:lastRenderedPageBreak/>
              <w:t>Operational Leadership</w:t>
            </w:r>
          </w:p>
          <w:p w14:paraId="61435074" w14:textId="281DD56A" w:rsidR="008A6518" w:rsidRPr="00F3680D" w:rsidRDefault="008A6518" w:rsidP="00BC460A">
            <w:pPr>
              <w:pStyle w:val="Tablebullet"/>
              <w:rPr>
                <w:bCs/>
                <w:sz w:val="22"/>
                <w:szCs w:val="22"/>
              </w:rPr>
            </w:pPr>
            <w:r w:rsidRPr="00F3680D">
              <w:rPr>
                <w:sz w:val="22"/>
                <w:szCs w:val="22"/>
              </w:rPr>
              <w:t xml:space="preserve">Provide </w:t>
            </w:r>
            <w:r w:rsidR="00603318" w:rsidRPr="00F3680D">
              <w:rPr>
                <w:sz w:val="22"/>
                <w:szCs w:val="22"/>
              </w:rPr>
              <w:t xml:space="preserve">operational </w:t>
            </w:r>
            <w:r w:rsidRPr="00F3680D">
              <w:rPr>
                <w:sz w:val="22"/>
                <w:szCs w:val="22"/>
              </w:rPr>
              <w:t xml:space="preserve">leadership to ensure that the Secretariat has a clear focus and understands the </w:t>
            </w:r>
            <w:proofErr w:type="gramStart"/>
            <w:r w:rsidRPr="00F3680D">
              <w:rPr>
                <w:sz w:val="22"/>
                <w:szCs w:val="22"/>
              </w:rPr>
              <w:t xml:space="preserve">purpose </w:t>
            </w:r>
            <w:r w:rsidR="00816C34" w:rsidRPr="00F3680D">
              <w:rPr>
                <w:sz w:val="22"/>
                <w:szCs w:val="22"/>
              </w:rPr>
              <w:t>,</w:t>
            </w:r>
            <w:r w:rsidRPr="00F3680D">
              <w:rPr>
                <w:sz w:val="22"/>
                <w:szCs w:val="22"/>
              </w:rPr>
              <w:t>scope</w:t>
            </w:r>
            <w:proofErr w:type="gramEnd"/>
            <w:r w:rsidR="00816C34" w:rsidRPr="00F3680D">
              <w:rPr>
                <w:sz w:val="22"/>
                <w:szCs w:val="22"/>
              </w:rPr>
              <w:t xml:space="preserve"> and boundaries</w:t>
            </w:r>
            <w:r w:rsidRPr="00F3680D">
              <w:rPr>
                <w:sz w:val="22"/>
                <w:szCs w:val="22"/>
              </w:rPr>
              <w:t xml:space="preserve"> of its work.  </w:t>
            </w:r>
          </w:p>
          <w:p w14:paraId="6E7265C1" w14:textId="77777777" w:rsidR="00BC460A" w:rsidRPr="00F3680D" w:rsidRDefault="00BC460A" w:rsidP="00BC460A">
            <w:pPr>
              <w:pStyle w:val="Tablebullet"/>
              <w:rPr>
                <w:bCs/>
                <w:sz w:val="22"/>
                <w:szCs w:val="22"/>
              </w:rPr>
            </w:pPr>
            <w:r w:rsidRPr="00F3680D">
              <w:rPr>
                <w:bCs/>
                <w:sz w:val="22"/>
                <w:szCs w:val="22"/>
              </w:rPr>
              <w:t>Maintain oversight of the day-to-day operation of the Inquiry</w:t>
            </w:r>
            <w:r w:rsidRPr="00F3680D">
              <w:rPr>
                <w:sz w:val="22"/>
                <w:szCs w:val="22"/>
              </w:rPr>
              <w:t xml:space="preserve"> ensuring effective management and delivery of the range of tasks and recognising degrees of urgency and importance</w:t>
            </w:r>
          </w:p>
          <w:p w14:paraId="35B6815E" w14:textId="77777777" w:rsidR="00BC460A" w:rsidRPr="00F3680D" w:rsidRDefault="00BC460A" w:rsidP="00BC460A">
            <w:pPr>
              <w:pStyle w:val="Tablebullet"/>
              <w:rPr>
                <w:b/>
                <w:bCs/>
                <w:sz w:val="22"/>
                <w:szCs w:val="22"/>
              </w:rPr>
            </w:pPr>
            <w:r w:rsidRPr="00F3680D">
              <w:rPr>
                <w:sz w:val="22"/>
                <w:szCs w:val="22"/>
              </w:rPr>
              <w:t>Provide day-to-day management of the Inquiry secretariat team</w:t>
            </w:r>
            <w:r w:rsidRPr="00F3680D">
              <w:rPr>
                <w:bCs/>
                <w:sz w:val="22"/>
                <w:szCs w:val="22"/>
              </w:rPr>
              <w:t>, including working with the Inquiry Chair to identify and set expectations for the team, monitor team performance, and provide constructive feedback to support high performance</w:t>
            </w:r>
          </w:p>
          <w:p w14:paraId="1C3754FF" w14:textId="77777777" w:rsidR="00BC460A" w:rsidRPr="00F3680D" w:rsidRDefault="00BC460A" w:rsidP="00BC460A">
            <w:pPr>
              <w:pStyle w:val="Tablebullet"/>
              <w:rPr>
                <w:bCs/>
                <w:sz w:val="22"/>
                <w:szCs w:val="22"/>
              </w:rPr>
            </w:pPr>
            <w:r w:rsidRPr="00F3680D">
              <w:rPr>
                <w:sz w:val="22"/>
                <w:szCs w:val="22"/>
              </w:rPr>
              <w:t>Lead team in a manner which fosters a positive culture and environment that is consistent with the principles and behaviours of DIA and leads to a highly engaged work force</w:t>
            </w:r>
          </w:p>
          <w:p w14:paraId="11C48E56" w14:textId="77777777" w:rsidR="00BC460A" w:rsidRPr="00F3680D" w:rsidRDefault="00BC460A" w:rsidP="008A6518">
            <w:pPr>
              <w:pStyle w:val="Tablebullet"/>
              <w:rPr>
                <w:sz w:val="22"/>
                <w:szCs w:val="22"/>
              </w:rPr>
            </w:pPr>
            <w:r w:rsidRPr="00F3680D">
              <w:rPr>
                <w:bCs/>
                <w:sz w:val="22"/>
                <w:szCs w:val="22"/>
              </w:rPr>
              <w:t>Model a strong public service ethic – including providing robust advice and ensuring value for money in the Inquiry’s activities</w:t>
            </w:r>
          </w:p>
        </w:tc>
        <w:tc>
          <w:tcPr>
            <w:tcW w:w="4044" w:type="dxa"/>
            <w:tcBorders>
              <w:top w:val="single" w:sz="4" w:space="0" w:color="auto"/>
              <w:left w:val="single" w:sz="4" w:space="0" w:color="auto"/>
              <w:bottom w:val="single" w:sz="4" w:space="0" w:color="auto"/>
              <w:right w:val="nil"/>
            </w:tcBorders>
          </w:tcPr>
          <w:p w14:paraId="3C952899" w14:textId="77777777" w:rsidR="008A6518" w:rsidRPr="00F3680D" w:rsidRDefault="008A6518" w:rsidP="008A6518">
            <w:pPr>
              <w:pStyle w:val="Tablebullet"/>
              <w:rPr>
                <w:sz w:val="22"/>
                <w:szCs w:val="22"/>
              </w:rPr>
            </w:pPr>
            <w:r w:rsidRPr="00F3680D">
              <w:rPr>
                <w:sz w:val="22"/>
                <w:szCs w:val="22"/>
              </w:rPr>
              <w:t xml:space="preserve">Services provided to the Inquiry are fit for purpose with an appropriate </w:t>
            </w:r>
            <w:r w:rsidRPr="00F3680D">
              <w:rPr>
                <w:bCs/>
                <w:sz w:val="22"/>
                <w:szCs w:val="22"/>
              </w:rPr>
              <w:t>focus</w:t>
            </w:r>
            <w:r w:rsidRPr="00F3680D">
              <w:rPr>
                <w:sz w:val="22"/>
                <w:szCs w:val="22"/>
              </w:rPr>
              <w:t xml:space="preserve"> on the Inquiry’s requirements</w:t>
            </w:r>
          </w:p>
          <w:p w14:paraId="414347A1" w14:textId="77777777" w:rsidR="008A6518" w:rsidRPr="00F3680D" w:rsidRDefault="008A6518" w:rsidP="008A6518">
            <w:pPr>
              <w:pStyle w:val="Tablebullet"/>
              <w:rPr>
                <w:sz w:val="22"/>
                <w:szCs w:val="22"/>
              </w:rPr>
            </w:pPr>
            <w:r w:rsidRPr="00F3680D">
              <w:rPr>
                <w:sz w:val="22"/>
                <w:szCs w:val="22"/>
              </w:rPr>
              <w:t xml:space="preserve">All people (including contractors) are employed </w:t>
            </w:r>
            <w:r w:rsidR="000839A8" w:rsidRPr="00F3680D">
              <w:rPr>
                <w:sz w:val="22"/>
                <w:szCs w:val="22"/>
              </w:rPr>
              <w:t xml:space="preserve">and managed </w:t>
            </w:r>
            <w:r w:rsidRPr="00F3680D">
              <w:rPr>
                <w:sz w:val="22"/>
                <w:szCs w:val="22"/>
              </w:rPr>
              <w:t>according to DIA policies and procedures</w:t>
            </w:r>
          </w:p>
          <w:p w14:paraId="4D1FC15B" w14:textId="1B91090B" w:rsidR="00765523" w:rsidRPr="00F3680D" w:rsidRDefault="00765523" w:rsidP="008A6518">
            <w:pPr>
              <w:pStyle w:val="Tablebullet"/>
              <w:rPr>
                <w:sz w:val="22"/>
                <w:szCs w:val="22"/>
              </w:rPr>
            </w:pPr>
            <w:r w:rsidRPr="00F3680D">
              <w:rPr>
                <w:sz w:val="22"/>
                <w:szCs w:val="22"/>
              </w:rPr>
              <w:t xml:space="preserve">There is a positive, collegial culture and “can do” environment </w:t>
            </w:r>
          </w:p>
          <w:p w14:paraId="5649A00A" w14:textId="2614B40E" w:rsidR="00765523" w:rsidRPr="00F3680D" w:rsidRDefault="00765523" w:rsidP="008A6518">
            <w:pPr>
              <w:pStyle w:val="Tablebullet"/>
              <w:rPr>
                <w:sz w:val="22"/>
                <w:szCs w:val="22"/>
              </w:rPr>
            </w:pPr>
            <w:r w:rsidRPr="00F3680D">
              <w:rPr>
                <w:sz w:val="22"/>
                <w:szCs w:val="22"/>
              </w:rPr>
              <w:t xml:space="preserve">The </w:t>
            </w:r>
            <w:r w:rsidR="00603318" w:rsidRPr="00F3680D">
              <w:rPr>
                <w:sz w:val="22"/>
                <w:szCs w:val="22"/>
              </w:rPr>
              <w:t xml:space="preserve">Inquiry </w:t>
            </w:r>
            <w:r w:rsidRPr="00F3680D">
              <w:rPr>
                <w:sz w:val="22"/>
                <w:szCs w:val="22"/>
              </w:rPr>
              <w:t>is results driven</w:t>
            </w:r>
          </w:p>
          <w:p w14:paraId="618D939F" w14:textId="77777777" w:rsidR="00BC460A" w:rsidRPr="00F3680D" w:rsidRDefault="008A6518" w:rsidP="008A6518">
            <w:pPr>
              <w:pStyle w:val="Tablebullet"/>
              <w:rPr>
                <w:sz w:val="22"/>
                <w:szCs w:val="22"/>
              </w:rPr>
            </w:pPr>
            <w:r w:rsidRPr="00F3680D">
              <w:rPr>
                <w:sz w:val="22"/>
                <w:szCs w:val="22"/>
              </w:rPr>
              <w:t>Leadership and management of people within the Inquiry meets DIA and Public Sector expectations</w:t>
            </w:r>
          </w:p>
          <w:p w14:paraId="0F651B7F" w14:textId="1D826F64" w:rsidR="008A6518" w:rsidRPr="00F3680D" w:rsidRDefault="008A6518" w:rsidP="00765523">
            <w:pPr>
              <w:pStyle w:val="Tablebullet"/>
              <w:rPr>
                <w:sz w:val="22"/>
                <w:szCs w:val="22"/>
              </w:rPr>
            </w:pPr>
            <w:r w:rsidRPr="00F3680D">
              <w:rPr>
                <w:sz w:val="22"/>
                <w:szCs w:val="22"/>
              </w:rPr>
              <w:t>DIA</w:t>
            </w:r>
            <w:r w:rsidR="00FB33AD" w:rsidRPr="00F3680D">
              <w:rPr>
                <w:sz w:val="22"/>
                <w:szCs w:val="22"/>
              </w:rPr>
              <w:t>’s accountabilities can be met</w:t>
            </w:r>
            <w:r w:rsidR="00603318" w:rsidRPr="00F3680D">
              <w:rPr>
                <w:sz w:val="22"/>
                <w:szCs w:val="22"/>
              </w:rPr>
              <w:t xml:space="preserve"> (e.g., in managing budget, procurement, employment, and health and safety issues where the </w:t>
            </w:r>
            <w:r w:rsidR="004E1E7A" w:rsidRPr="00F3680D">
              <w:rPr>
                <w:sz w:val="22"/>
                <w:szCs w:val="22"/>
              </w:rPr>
              <w:t>CE</w:t>
            </w:r>
            <w:r w:rsidR="00603318" w:rsidRPr="00F3680D">
              <w:rPr>
                <w:sz w:val="22"/>
                <w:szCs w:val="22"/>
              </w:rPr>
              <w:t xml:space="preserve"> is ultimately accountable)</w:t>
            </w:r>
          </w:p>
        </w:tc>
      </w:tr>
      <w:tr w:rsidR="00D57265" w:rsidRPr="00F3680D" w14:paraId="44D035EB" w14:textId="77777777" w:rsidTr="00D57265">
        <w:tc>
          <w:tcPr>
            <w:tcW w:w="5470" w:type="dxa"/>
            <w:tcBorders>
              <w:top w:val="single" w:sz="4" w:space="0" w:color="auto"/>
              <w:left w:val="nil"/>
              <w:bottom w:val="single" w:sz="4" w:space="0" w:color="auto"/>
              <w:right w:val="single" w:sz="6" w:space="0" w:color="1F546B" w:themeColor="text2"/>
            </w:tcBorders>
          </w:tcPr>
          <w:p w14:paraId="036147B2" w14:textId="2FB4154A" w:rsidR="00D57265" w:rsidRPr="00D57265" w:rsidRDefault="00D57265" w:rsidP="00D57265">
            <w:pPr>
              <w:pStyle w:val="Tablenormal0"/>
              <w:rPr>
                <w:b/>
                <w:bCs/>
                <w:sz w:val="22"/>
                <w:szCs w:val="22"/>
              </w:rPr>
            </w:pPr>
            <w:r w:rsidRPr="00D57265">
              <w:rPr>
                <w:b/>
                <w:bCs/>
                <w:sz w:val="22"/>
                <w:szCs w:val="22"/>
              </w:rPr>
              <w:t>Health and safety (for self)</w:t>
            </w:r>
          </w:p>
          <w:p w14:paraId="46082765" w14:textId="77777777" w:rsidR="00D57265" w:rsidRPr="00D57265" w:rsidRDefault="00D57265" w:rsidP="00D57265">
            <w:pPr>
              <w:pStyle w:val="Tablebullet"/>
              <w:rPr>
                <w:sz w:val="22"/>
                <w:szCs w:val="22"/>
              </w:rPr>
            </w:pPr>
            <w:r w:rsidRPr="00D57265">
              <w:rPr>
                <w:sz w:val="22"/>
                <w:szCs w:val="22"/>
              </w:rPr>
              <w:t>Work safely and take responsibility for keeping self and colleagues free from harm</w:t>
            </w:r>
          </w:p>
          <w:p w14:paraId="41DC1C37" w14:textId="77777777" w:rsidR="00D57265" w:rsidRPr="00D57265" w:rsidRDefault="00D57265" w:rsidP="00D57265">
            <w:pPr>
              <w:pStyle w:val="Tablebullet"/>
              <w:rPr>
                <w:sz w:val="22"/>
                <w:szCs w:val="22"/>
              </w:rPr>
            </w:pPr>
            <w:r w:rsidRPr="00D57265">
              <w:rPr>
                <w:sz w:val="22"/>
                <w:szCs w:val="22"/>
              </w:rPr>
              <w:t>Report all incidents and hazards promptly</w:t>
            </w:r>
          </w:p>
          <w:p w14:paraId="3433519B" w14:textId="77777777" w:rsidR="00D57265" w:rsidRPr="00D57265" w:rsidRDefault="00D57265" w:rsidP="00D57265">
            <w:pPr>
              <w:pStyle w:val="Tablebullet"/>
              <w:rPr>
                <w:sz w:val="22"/>
                <w:szCs w:val="22"/>
              </w:rPr>
            </w:pPr>
            <w:r w:rsidRPr="00D57265">
              <w:rPr>
                <w:sz w:val="22"/>
                <w:szCs w:val="22"/>
              </w:rPr>
              <w:t>Know what to do in the event of an emergency</w:t>
            </w:r>
          </w:p>
          <w:p w14:paraId="6AEC19C3" w14:textId="77777777" w:rsidR="00D57265" w:rsidRPr="00D57265" w:rsidRDefault="00D57265" w:rsidP="00D57265">
            <w:pPr>
              <w:pStyle w:val="Tablebullet"/>
              <w:rPr>
                <w:sz w:val="22"/>
                <w:szCs w:val="22"/>
              </w:rPr>
            </w:pPr>
            <w:r w:rsidRPr="00D57265">
              <w:rPr>
                <w:sz w:val="22"/>
                <w:szCs w:val="22"/>
              </w:rPr>
              <w:t>Cooperate in implementing return to work plans</w:t>
            </w:r>
          </w:p>
          <w:p w14:paraId="4D401CBD" w14:textId="77777777" w:rsidR="00D57265" w:rsidRPr="00D57265" w:rsidRDefault="00D57265" w:rsidP="00D57265">
            <w:pPr>
              <w:pStyle w:val="Tablenormal0"/>
              <w:rPr>
                <w:b/>
                <w:bCs/>
                <w:sz w:val="22"/>
                <w:szCs w:val="22"/>
              </w:rPr>
            </w:pPr>
            <w:r w:rsidRPr="00D57265">
              <w:rPr>
                <w:b/>
                <w:bCs/>
                <w:sz w:val="22"/>
                <w:szCs w:val="22"/>
              </w:rPr>
              <w:t>Health and safety (for team)</w:t>
            </w:r>
          </w:p>
          <w:p w14:paraId="2F9B5FD8" w14:textId="76B8AB7F" w:rsidR="00D57265" w:rsidRPr="00D57265" w:rsidRDefault="00D57265" w:rsidP="00D57265">
            <w:pPr>
              <w:pStyle w:val="Tablebullet"/>
              <w:rPr>
                <w:sz w:val="22"/>
                <w:szCs w:val="22"/>
              </w:rPr>
            </w:pPr>
            <w:r w:rsidRPr="00D57265">
              <w:rPr>
                <w:sz w:val="22"/>
                <w:szCs w:val="22"/>
              </w:rPr>
              <w:t>Inform, train and equip staff to carry out their work safely</w:t>
            </w:r>
          </w:p>
          <w:p w14:paraId="43BF355D" w14:textId="77777777" w:rsidR="00D57265" w:rsidRPr="00D57265" w:rsidRDefault="00D57265" w:rsidP="00D57265">
            <w:pPr>
              <w:pStyle w:val="Tablebullet"/>
              <w:rPr>
                <w:sz w:val="22"/>
                <w:szCs w:val="22"/>
              </w:rPr>
            </w:pPr>
            <w:r w:rsidRPr="00D57265">
              <w:rPr>
                <w:sz w:val="22"/>
                <w:szCs w:val="22"/>
              </w:rPr>
              <w:t>Ensure prompt and accurate reporting and investigation of all workplace incidents and injuries</w:t>
            </w:r>
          </w:p>
          <w:p w14:paraId="74E9195D" w14:textId="32ACF15C" w:rsidR="00D57265" w:rsidRPr="00D57265" w:rsidRDefault="00D57265" w:rsidP="00D57265">
            <w:pPr>
              <w:pStyle w:val="Tablebullet"/>
              <w:rPr>
                <w:sz w:val="22"/>
                <w:szCs w:val="22"/>
              </w:rPr>
            </w:pPr>
            <w:r w:rsidRPr="00D57265">
              <w:rPr>
                <w:sz w:val="22"/>
                <w:szCs w:val="22"/>
              </w:rPr>
              <w:t>Assess all hazards promptly and ensure they are managed</w:t>
            </w:r>
          </w:p>
        </w:tc>
        <w:tc>
          <w:tcPr>
            <w:tcW w:w="4051" w:type="dxa"/>
            <w:gridSpan w:val="2"/>
            <w:tcBorders>
              <w:top w:val="single" w:sz="4" w:space="0" w:color="auto"/>
              <w:left w:val="single" w:sz="6" w:space="0" w:color="1F546B" w:themeColor="text2"/>
              <w:bottom w:val="single" w:sz="4" w:space="0" w:color="auto"/>
              <w:right w:val="nil"/>
            </w:tcBorders>
          </w:tcPr>
          <w:p w14:paraId="2D7EF302" w14:textId="77777777" w:rsidR="00D57265" w:rsidRPr="00D57265" w:rsidRDefault="00D57265" w:rsidP="00D57265">
            <w:pPr>
              <w:pStyle w:val="Tablebullet"/>
              <w:rPr>
                <w:sz w:val="22"/>
                <w:szCs w:val="22"/>
              </w:rPr>
            </w:pPr>
            <w:r w:rsidRPr="00D57265">
              <w:rPr>
                <w:sz w:val="22"/>
                <w:szCs w:val="22"/>
              </w:rPr>
              <w:t>A safe and healthy workplace for all people using our sites as a place of work.</w:t>
            </w:r>
          </w:p>
          <w:p w14:paraId="7A3D4EB1" w14:textId="2FF8165D" w:rsidR="00D57265" w:rsidRPr="00D57265" w:rsidRDefault="00D57265" w:rsidP="00D57265">
            <w:pPr>
              <w:pStyle w:val="Tablebullet"/>
              <w:rPr>
                <w:sz w:val="22"/>
                <w:szCs w:val="22"/>
              </w:rPr>
            </w:pPr>
            <w:r w:rsidRPr="00D57265">
              <w:rPr>
                <w:sz w:val="22"/>
                <w:szCs w:val="22"/>
              </w:rPr>
              <w:t>All requirements of DIA’s Health and Safety policy and procedures are met, and the supplementary health, safety, wellbeing and security procedures developed for the Royal Commission are adhered to</w:t>
            </w:r>
          </w:p>
          <w:p w14:paraId="1D00DAA2" w14:textId="77777777" w:rsidR="00D57265" w:rsidRPr="00D57265" w:rsidRDefault="00D57265" w:rsidP="00D57265">
            <w:pPr>
              <w:pStyle w:val="Tablebullet"/>
              <w:rPr>
                <w:sz w:val="22"/>
                <w:szCs w:val="22"/>
              </w:rPr>
            </w:pPr>
            <w:r w:rsidRPr="00D57265">
              <w:rPr>
                <w:sz w:val="22"/>
                <w:szCs w:val="22"/>
              </w:rPr>
              <w:t>Given the subject matter of the Inquiry, additional well-being support is available to all staff (including contractors)</w:t>
            </w:r>
          </w:p>
        </w:tc>
      </w:tr>
      <w:tr w:rsidR="00D57265" w:rsidRPr="00F3680D" w14:paraId="48A66C78" w14:textId="77777777" w:rsidTr="00D57265">
        <w:tc>
          <w:tcPr>
            <w:tcW w:w="5470" w:type="dxa"/>
            <w:tcBorders>
              <w:top w:val="single" w:sz="4" w:space="0" w:color="auto"/>
              <w:left w:val="nil"/>
              <w:bottom w:val="nil"/>
              <w:right w:val="single" w:sz="6" w:space="0" w:color="1F546B" w:themeColor="text2"/>
            </w:tcBorders>
          </w:tcPr>
          <w:p w14:paraId="750A1182" w14:textId="3F3C140F" w:rsidR="00D57265" w:rsidRPr="00F3680D" w:rsidRDefault="00D57265" w:rsidP="00D57265">
            <w:pPr>
              <w:pStyle w:val="Tablebullet"/>
              <w:numPr>
                <w:ilvl w:val="0"/>
                <w:numId w:val="0"/>
              </w:numPr>
              <w:ind w:left="357" w:hanging="357"/>
              <w:rPr>
                <w:b/>
                <w:bCs/>
                <w:sz w:val="22"/>
                <w:szCs w:val="22"/>
              </w:rPr>
            </w:pPr>
          </w:p>
        </w:tc>
        <w:tc>
          <w:tcPr>
            <w:tcW w:w="4051" w:type="dxa"/>
            <w:gridSpan w:val="2"/>
            <w:tcBorders>
              <w:top w:val="single" w:sz="4" w:space="0" w:color="auto"/>
              <w:left w:val="single" w:sz="6" w:space="0" w:color="1F546B" w:themeColor="text2"/>
              <w:bottom w:val="nil"/>
              <w:right w:val="nil"/>
            </w:tcBorders>
          </w:tcPr>
          <w:p w14:paraId="1E4E9B3E" w14:textId="63ED851B" w:rsidR="00D57265" w:rsidRPr="00F3680D" w:rsidRDefault="00D57265" w:rsidP="00D57265">
            <w:pPr>
              <w:pStyle w:val="Tablebullet"/>
              <w:numPr>
                <w:ilvl w:val="0"/>
                <w:numId w:val="0"/>
              </w:numPr>
              <w:ind w:left="357"/>
              <w:rPr>
                <w:sz w:val="22"/>
                <w:szCs w:val="22"/>
              </w:rPr>
            </w:pPr>
          </w:p>
        </w:tc>
      </w:tr>
    </w:tbl>
    <w:p w14:paraId="28BB25E6" w14:textId="77777777" w:rsidR="00D57265" w:rsidRDefault="00D57265">
      <w:r>
        <w:br w:type="page"/>
      </w:r>
    </w:p>
    <w:tbl>
      <w:tblPr>
        <w:tblStyle w:val="Blanktable"/>
        <w:tblW w:w="9754" w:type="dxa"/>
        <w:tblInd w:w="106" w:type="dxa"/>
        <w:tblLook w:val="04A0" w:firstRow="1" w:lastRow="0" w:firstColumn="1" w:lastColumn="0" w:noHBand="0" w:noVBand="1"/>
        <w:tblDescription w:val="This table outlines &quot;What you will do to contribute&quot; and what success looks like (&quot;As a result we will see&quot;)"/>
      </w:tblPr>
      <w:tblGrid>
        <w:gridCol w:w="1129"/>
        <w:gridCol w:w="4562"/>
        <w:gridCol w:w="643"/>
        <w:gridCol w:w="644"/>
        <w:gridCol w:w="644"/>
        <w:gridCol w:w="666"/>
        <w:gridCol w:w="820"/>
        <w:gridCol w:w="646"/>
      </w:tblGrid>
      <w:tr w:rsidR="00B079FA" w:rsidRPr="00267EDC" w14:paraId="6BBE9DB7" w14:textId="77777777" w:rsidTr="000449BB">
        <w:trPr>
          <w:trHeight w:val="737"/>
          <w:tblHeader/>
        </w:trPr>
        <w:tc>
          <w:tcPr>
            <w:tcW w:w="5691" w:type="dxa"/>
            <w:gridSpan w:val="2"/>
            <w:tcBorders>
              <w:bottom w:val="single" w:sz="6" w:space="0" w:color="1F546B" w:themeColor="text2"/>
            </w:tcBorders>
          </w:tcPr>
          <w:p w14:paraId="4E1C84D1" w14:textId="6B92288C" w:rsidR="00B079FA" w:rsidRPr="00267EDC" w:rsidRDefault="00B079FA" w:rsidP="00CD0450"/>
        </w:tc>
        <w:tc>
          <w:tcPr>
            <w:tcW w:w="643" w:type="dxa"/>
            <w:vMerge w:val="restart"/>
            <w:tcBorders>
              <w:bottom w:val="single" w:sz="6" w:space="0" w:color="1F546B" w:themeColor="text2"/>
            </w:tcBorders>
            <w:textDirection w:val="btLr"/>
            <w:vAlign w:val="center"/>
          </w:tcPr>
          <w:p w14:paraId="37202B3B" w14:textId="77777777" w:rsidR="00B079FA" w:rsidRPr="00267EDC" w:rsidRDefault="00B079FA" w:rsidP="00CD0450">
            <w:pPr>
              <w:pStyle w:val="Tableverticaltext"/>
            </w:pPr>
            <w:r w:rsidRPr="00267EDC">
              <w:t>Advise</w:t>
            </w:r>
          </w:p>
        </w:tc>
        <w:tc>
          <w:tcPr>
            <w:tcW w:w="644" w:type="dxa"/>
            <w:vMerge w:val="restart"/>
            <w:tcBorders>
              <w:bottom w:val="single" w:sz="6" w:space="0" w:color="1F546B" w:themeColor="text2"/>
            </w:tcBorders>
            <w:textDirection w:val="btLr"/>
            <w:vAlign w:val="center"/>
          </w:tcPr>
          <w:p w14:paraId="68274016" w14:textId="77777777" w:rsidR="00B079FA" w:rsidRPr="00267EDC" w:rsidRDefault="00B079FA" w:rsidP="00CD0450">
            <w:pPr>
              <w:pStyle w:val="Tableverticaltext"/>
            </w:pPr>
            <w:r w:rsidRPr="00267EDC">
              <w:t>Collaborate with</w:t>
            </w:r>
          </w:p>
        </w:tc>
        <w:tc>
          <w:tcPr>
            <w:tcW w:w="644" w:type="dxa"/>
            <w:vMerge w:val="restart"/>
            <w:tcBorders>
              <w:bottom w:val="single" w:sz="6" w:space="0" w:color="1F546B" w:themeColor="text2"/>
            </w:tcBorders>
            <w:textDirection w:val="btLr"/>
            <w:vAlign w:val="center"/>
          </w:tcPr>
          <w:p w14:paraId="44D27B09" w14:textId="77777777" w:rsidR="00B079FA" w:rsidRPr="00267EDC" w:rsidRDefault="00B079FA" w:rsidP="00CD0450">
            <w:pPr>
              <w:pStyle w:val="Tableverticaltext"/>
            </w:pPr>
            <w:r w:rsidRPr="00267EDC">
              <w:t>Influence</w:t>
            </w:r>
          </w:p>
        </w:tc>
        <w:tc>
          <w:tcPr>
            <w:tcW w:w="666" w:type="dxa"/>
            <w:vMerge w:val="restart"/>
            <w:tcBorders>
              <w:bottom w:val="single" w:sz="6" w:space="0" w:color="1F546B" w:themeColor="text2"/>
            </w:tcBorders>
            <w:textDirection w:val="btLr"/>
            <w:vAlign w:val="center"/>
          </w:tcPr>
          <w:p w14:paraId="59C6E973" w14:textId="77777777" w:rsidR="00B079FA" w:rsidRPr="00267EDC" w:rsidRDefault="00B079FA" w:rsidP="00CD0450">
            <w:pPr>
              <w:pStyle w:val="Tableverticaltext"/>
            </w:pPr>
            <w:r w:rsidRPr="00267EDC">
              <w:t>Inform</w:t>
            </w:r>
          </w:p>
        </w:tc>
        <w:tc>
          <w:tcPr>
            <w:tcW w:w="820" w:type="dxa"/>
            <w:vMerge w:val="restart"/>
            <w:tcBorders>
              <w:bottom w:val="single" w:sz="6" w:space="0" w:color="1F546B" w:themeColor="text2"/>
            </w:tcBorders>
            <w:textDirection w:val="btLr"/>
            <w:vAlign w:val="center"/>
          </w:tcPr>
          <w:p w14:paraId="3EF6D12C" w14:textId="77777777" w:rsidR="00B079FA" w:rsidRPr="00267EDC" w:rsidRDefault="00B079FA" w:rsidP="00CD0450">
            <w:pPr>
              <w:pStyle w:val="Tableverticaltext"/>
            </w:pPr>
            <w:r w:rsidRPr="00267EDC">
              <w:t>Manage/</w:t>
            </w:r>
          </w:p>
          <w:p w14:paraId="1DC34A25" w14:textId="77777777" w:rsidR="00B079FA" w:rsidRPr="00267EDC" w:rsidRDefault="00B079FA" w:rsidP="00CD0450">
            <w:pPr>
              <w:pStyle w:val="Tableverticaltext"/>
            </w:pPr>
            <w:r w:rsidRPr="00267EDC">
              <w:t>lead</w:t>
            </w:r>
          </w:p>
        </w:tc>
        <w:tc>
          <w:tcPr>
            <w:tcW w:w="646" w:type="dxa"/>
            <w:vMerge w:val="restart"/>
            <w:tcBorders>
              <w:bottom w:val="single" w:sz="6" w:space="0" w:color="1F546B" w:themeColor="text2"/>
            </w:tcBorders>
            <w:textDirection w:val="btLr"/>
            <w:vAlign w:val="center"/>
          </w:tcPr>
          <w:p w14:paraId="68003A04" w14:textId="77777777" w:rsidR="00B079FA" w:rsidRPr="00267EDC" w:rsidRDefault="00B079FA" w:rsidP="00CD0450">
            <w:pPr>
              <w:pStyle w:val="Tableverticaltext"/>
            </w:pPr>
            <w:r w:rsidRPr="00267EDC">
              <w:t>Deliver to</w:t>
            </w:r>
          </w:p>
        </w:tc>
      </w:tr>
      <w:tr w:rsidR="00B079FA" w:rsidRPr="00267EDC" w14:paraId="70F5316B" w14:textId="77777777" w:rsidTr="000449BB">
        <w:trPr>
          <w:trHeight w:val="323"/>
          <w:tblHeader/>
        </w:trPr>
        <w:tc>
          <w:tcPr>
            <w:tcW w:w="5691"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0AB575C3" w14:textId="77777777" w:rsidR="00B079FA" w:rsidRPr="00267EDC" w:rsidRDefault="00B079FA" w:rsidP="00CD0450">
            <w:pPr>
              <w:pStyle w:val="Tableheading"/>
            </w:pPr>
            <w:r w:rsidRPr="00267EDC">
              <w:t>Who you will work with to get the job done</w:t>
            </w:r>
          </w:p>
        </w:tc>
        <w:tc>
          <w:tcPr>
            <w:tcW w:w="643" w:type="dxa"/>
            <w:vMerge/>
            <w:tcBorders>
              <w:left w:val="single" w:sz="6" w:space="0" w:color="1F546B" w:themeColor="text2"/>
              <w:bottom w:val="single" w:sz="6" w:space="0" w:color="1F546B" w:themeColor="text2"/>
            </w:tcBorders>
            <w:textDirection w:val="btLr"/>
          </w:tcPr>
          <w:p w14:paraId="6E736C1D" w14:textId="77777777" w:rsidR="00B079FA" w:rsidRPr="00267EDC" w:rsidRDefault="00B079FA" w:rsidP="00CD0450"/>
        </w:tc>
        <w:tc>
          <w:tcPr>
            <w:tcW w:w="644" w:type="dxa"/>
            <w:vMerge/>
            <w:tcBorders>
              <w:bottom w:val="single" w:sz="6" w:space="0" w:color="1F546B" w:themeColor="text2"/>
            </w:tcBorders>
            <w:textDirection w:val="btLr"/>
          </w:tcPr>
          <w:p w14:paraId="5D07902A" w14:textId="77777777" w:rsidR="00B079FA" w:rsidRPr="00267EDC" w:rsidRDefault="00B079FA" w:rsidP="00CD0450"/>
        </w:tc>
        <w:tc>
          <w:tcPr>
            <w:tcW w:w="644" w:type="dxa"/>
            <w:vMerge/>
            <w:tcBorders>
              <w:bottom w:val="single" w:sz="6" w:space="0" w:color="1F546B" w:themeColor="text2"/>
            </w:tcBorders>
            <w:textDirection w:val="btLr"/>
          </w:tcPr>
          <w:p w14:paraId="06329060" w14:textId="77777777" w:rsidR="00B079FA" w:rsidRPr="00267EDC" w:rsidRDefault="00B079FA" w:rsidP="00CD0450"/>
        </w:tc>
        <w:tc>
          <w:tcPr>
            <w:tcW w:w="666" w:type="dxa"/>
            <w:vMerge/>
            <w:tcBorders>
              <w:bottom w:val="single" w:sz="6" w:space="0" w:color="1F546B" w:themeColor="text2"/>
            </w:tcBorders>
            <w:textDirection w:val="btLr"/>
          </w:tcPr>
          <w:p w14:paraId="5CD962AE" w14:textId="77777777" w:rsidR="00B079FA" w:rsidRPr="00267EDC" w:rsidRDefault="00B079FA" w:rsidP="00CD0450"/>
        </w:tc>
        <w:tc>
          <w:tcPr>
            <w:tcW w:w="820" w:type="dxa"/>
            <w:vMerge/>
            <w:tcBorders>
              <w:bottom w:val="single" w:sz="6" w:space="0" w:color="1F546B" w:themeColor="text2"/>
            </w:tcBorders>
            <w:textDirection w:val="btLr"/>
          </w:tcPr>
          <w:p w14:paraId="1AAB82B5" w14:textId="77777777" w:rsidR="00B079FA" w:rsidRPr="00267EDC" w:rsidRDefault="00B079FA" w:rsidP="00CD0450"/>
        </w:tc>
        <w:tc>
          <w:tcPr>
            <w:tcW w:w="646" w:type="dxa"/>
            <w:vMerge/>
            <w:tcBorders>
              <w:bottom w:val="single" w:sz="6" w:space="0" w:color="1F546B" w:themeColor="text2"/>
            </w:tcBorders>
            <w:textDirection w:val="btLr"/>
          </w:tcPr>
          <w:p w14:paraId="40C216E5" w14:textId="77777777" w:rsidR="00B079FA" w:rsidRPr="00267EDC" w:rsidRDefault="00B079FA" w:rsidP="00CD0450"/>
        </w:tc>
      </w:tr>
      <w:tr w:rsidR="00F3680D" w:rsidRPr="000449BB" w14:paraId="7DD6AC7D" w14:textId="77777777" w:rsidTr="000449BB">
        <w:trPr>
          <w:trHeight w:val="345"/>
        </w:trPr>
        <w:tc>
          <w:tcPr>
            <w:tcW w:w="1129" w:type="dxa"/>
            <w:vMerge w:val="restart"/>
            <w:tcBorders>
              <w:top w:val="single" w:sz="6" w:space="0" w:color="1F546B" w:themeColor="text2"/>
              <w:right w:val="single" w:sz="6" w:space="0" w:color="1F546B" w:themeColor="text2"/>
            </w:tcBorders>
            <w:vAlign w:val="center"/>
          </w:tcPr>
          <w:p w14:paraId="0975DB19" w14:textId="77777777" w:rsidR="00F3680D" w:rsidRPr="000449BB" w:rsidRDefault="00F3680D" w:rsidP="00B079FA">
            <w:pPr>
              <w:pStyle w:val="Tablenormalcondensed"/>
              <w:rPr>
                <w:sz w:val="22"/>
                <w:szCs w:val="22"/>
              </w:rPr>
            </w:pPr>
            <w:r w:rsidRPr="000449BB">
              <w:rPr>
                <w:sz w:val="22"/>
                <w:szCs w:val="22"/>
              </w:rPr>
              <w:t>Internal</w:t>
            </w: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9630010" w14:textId="0330B057" w:rsidR="00F3680D" w:rsidRPr="000449BB" w:rsidRDefault="00F3680D" w:rsidP="00B079FA">
            <w:pPr>
              <w:pStyle w:val="Tablenormalcondensed"/>
              <w:rPr>
                <w:sz w:val="22"/>
                <w:szCs w:val="22"/>
              </w:rPr>
            </w:pPr>
            <w:r w:rsidRPr="000449BB">
              <w:rPr>
                <w:sz w:val="22"/>
                <w:szCs w:val="22"/>
              </w:rPr>
              <w:t>Chief Executive Te Tari Taiwhenua</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6061F35" w14:textId="6163BE06"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E81357" w14:textId="584A66A8"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3AB757" w14:textId="395122CF" w:rsidR="00F3680D" w:rsidRPr="000449BB" w:rsidRDefault="00F3680D" w:rsidP="00B079FA">
            <w:pPr>
              <w:pStyle w:val="Tablenormalcondensed"/>
              <w:rPr>
                <w:sz w:val="22"/>
                <w:szCs w:val="22"/>
                <w:highlight w:val="yellow"/>
              </w:rPr>
            </w:pP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984A10" w14:textId="3F7082A1"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95E3042" w14:textId="5A5021BE"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D6E5C46" w14:textId="4FE511F1"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59C02EB0" w14:textId="77777777" w:rsidTr="000449BB">
        <w:trPr>
          <w:trHeight w:val="345"/>
        </w:trPr>
        <w:tc>
          <w:tcPr>
            <w:tcW w:w="1129" w:type="dxa"/>
            <w:vMerge/>
            <w:tcBorders>
              <w:right w:val="single" w:sz="6" w:space="0" w:color="1F546B" w:themeColor="text2"/>
            </w:tcBorders>
            <w:vAlign w:val="center"/>
          </w:tcPr>
          <w:p w14:paraId="2FA4270E"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77B1070" w14:textId="2A368EDC" w:rsidR="00F3680D" w:rsidRPr="000449BB" w:rsidRDefault="00F3680D" w:rsidP="00B079FA">
            <w:pPr>
              <w:pStyle w:val="Tablenormalcondensed"/>
              <w:rPr>
                <w:sz w:val="22"/>
                <w:szCs w:val="22"/>
                <w:highlight w:val="yellow"/>
              </w:rPr>
            </w:pPr>
            <w:r w:rsidRPr="000449BB">
              <w:rPr>
                <w:sz w:val="22"/>
                <w:szCs w:val="22"/>
              </w:rPr>
              <w:t xml:space="preserve">DCE Toi </w:t>
            </w:r>
            <w:proofErr w:type="spellStart"/>
            <w:r w:rsidRPr="000449BB">
              <w:rPr>
                <w:sz w:val="22"/>
                <w:szCs w:val="22"/>
              </w:rPr>
              <w:t>Hiranga</w:t>
            </w:r>
            <w:proofErr w:type="spellEnd"/>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732760C" w14:textId="498C2FC4"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E790A3" w14:textId="0BB63E26"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FA494BB" w14:textId="697ADF5D" w:rsidR="00F3680D" w:rsidRPr="000449BB" w:rsidRDefault="00F3680D" w:rsidP="00B079FA">
            <w:pPr>
              <w:pStyle w:val="Tablenormalcondensed"/>
              <w:rPr>
                <w:sz w:val="22"/>
                <w:szCs w:val="22"/>
                <w:highlight w:val="yellow"/>
              </w:rPr>
            </w:pP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EAA9C4" w14:textId="5C07ABCA"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7FAA42" w14:textId="2D5643C5"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CB36897" w14:textId="045D188A"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63A4CFA7" w14:textId="77777777" w:rsidTr="000449BB">
        <w:trPr>
          <w:trHeight w:val="345"/>
        </w:trPr>
        <w:tc>
          <w:tcPr>
            <w:tcW w:w="1129" w:type="dxa"/>
            <w:vMerge/>
            <w:tcBorders>
              <w:right w:val="single" w:sz="6" w:space="0" w:color="1F546B" w:themeColor="text2"/>
            </w:tcBorders>
            <w:vAlign w:val="center"/>
          </w:tcPr>
          <w:p w14:paraId="61D3BA88"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2A7D5F1" w14:textId="1C907EC2" w:rsidR="00F3680D" w:rsidRPr="000449BB" w:rsidRDefault="00F3680D" w:rsidP="00B079FA">
            <w:pPr>
              <w:pStyle w:val="Tablenormalcondensed"/>
              <w:rPr>
                <w:sz w:val="22"/>
                <w:szCs w:val="22"/>
              </w:rPr>
            </w:pPr>
            <w:r w:rsidRPr="000449BB">
              <w:rPr>
                <w:sz w:val="22"/>
                <w:szCs w:val="22"/>
              </w:rPr>
              <w:t xml:space="preserve">Inquiries Group Toi </w:t>
            </w:r>
            <w:proofErr w:type="spellStart"/>
            <w:r w:rsidRPr="000449BB">
              <w:rPr>
                <w:sz w:val="22"/>
                <w:szCs w:val="22"/>
              </w:rPr>
              <w:t>Hiranga</w:t>
            </w:r>
            <w:proofErr w:type="spellEnd"/>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BC72C8E" w14:textId="7675B285"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0531A8" w14:textId="1C4E821E"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4ECD59" w14:textId="0AE27EA9"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F28CEF0" w14:textId="2E21D0FE"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978D7A" w14:textId="77777777"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01B5550" w14:textId="625B7192"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3D51148C" w14:textId="77777777" w:rsidTr="000449BB">
        <w:trPr>
          <w:trHeight w:val="345"/>
        </w:trPr>
        <w:tc>
          <w:tcPr>
            <w:tcW w:w="1129" w:type="dxa"/>
            <w:vMerge/>
            <w:tcBorders>
              <w:right w:val="single" w:sz="6" w:space="0" w:color="1F546B" w:themeColor="text2"/>
            </w:tcBorders>
            <w:vAlign w:val="center"/>
          </w:tcPr>
          <w:p w14:paraId="1C1D9574"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5FB3797" w14:textId="7A6D3083" w:rsidR="00F3680D" w:rsidRPr="000449BB" w:rsidRDefault="00F3680D" w:rsidP="00B079FA">
            <w:pPr>
              <w:pStyle w:val="Tablenormalcondensed"/>
              <w:rPr>
                <w:sz w:val="22"/>
                <w:szCs w:val="22"/>
              </w:rPr>
            </w:pPr>
            <w:r w:rsidRPr="000449BB">
              <w:rPr>
                <w:sz w:val="22"/>
                <w:szCs w:val="22"/>
              </w:rPr>
              <w:t>Relevant Te Tari Taiwhenua managers and teams, including Finance, HR, Communications, TSS, Property, Legal</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1907B65" w14:textId="49EB1BD5"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DA7582" w14:textId="5B979929"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DACF53" w14:textId="61DBB17A"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E5072FE" w14:textId="443491A0"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582F2C" w14:textId="77777777"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5168DF7" w14:textId="2FC38E14"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59824FDA" w14:textId="77777777" w:rsidTr="000449BB">
        <w:trPr>
          <w:trHeight w:val="345"/>
        </w:trPr>
        <w:tc>
          <w:tcPr>
            <w:tcW w:w="1129" w:type="dxa"/>
            <w:vMerge/>
            <w:tcBorders>
              <w:bottom w:val="single" w:sz="6" w:space="0" w:color="1F546B" w:themeColor="text2"/>
              <w:right w:val="single" w:sz="6" w:space="0" w:color="1F546B" w:themeColor="text2"/>
            </w:tcBorders>
            <w:vAlign w:val="center"/>
          </w:tcPr>
          <w:p w14:paraId="40414CE9"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4305FF6" w14:textId="7C2E5EC4" w:rsidR="00F3680D" w:rsidRPr="000449BB" w:rsidRDefault="00F3680D" w:rsidP="00B079FA">
            <w:pPr>
              <w:pStyle w:val="Tablenormalcondensed"/>
              <w:rPr>
                <w:sz w:val="22"/>
                <w:szCs w:val="22"/>
              </w:rPr>
            </w:pPr>
            <w:r w:rsidRPr="000449BB">
              <w:rPr>
                <w:sz w:val="22"/>
                <w:szCs w:val="22"/>
              </w:rPr>
              <w:t>Royal Commission Secretariat staff</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DE279F" w14:textId="19F68CAD"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A2F4FF" w14:textId="227F8BE9"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59DCCC1" w14:textId="122732ED"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1C4D417" w14:textId="04D97A4E"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709573D" w14:textId="2635AB66"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C6493AF" w14:textId="73FD3035"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0FE69591" w14:textId="77777777" w:rsidTr="000449BB">
        <w:trPr>
          <w:trHeight w:val="233"/>
        </w:trPr>
        <w:tc>
          <w:tcPr>
            <w:tcW w:w="1129" w:type="dxa"/>
            <w:vMerge w:val="restart"/>
            <w:tcBorders>
              <w:top w:val="single" w:sz="6" w:space="0" w:color="1F546B" w:themeColor="text2"/>
              <w:right w:val="single" w:sz="6" w:space="0" w:color="1F546B" w:themeColor="text2"/>
            </w:tcBorders>
            <w:vAlign w:val="center"/>
          </w:tcPr>
          <w:p w14:paraId="3CCBFADE" w14:textId="77777777" w:rsidR="00F3680D" w:rsidRPr="000449BB" w:rsidRDefault="00F3680D" w:rsidP="00B079FA">
            <w:pPr>
              <w:pStyle w:val="Tablenormalcondensed"/>
              <w:rPr>
                <w:sz w:val="22"/>
                <w:szCs w:val="22"/>
              </w:rPr>
            </w:pPr>
            <w:r w:rsidRPr="000449BB">
              <w:rPr>
                <w:sz w:val="22"/>
                <w:szCs w:val="22"/>
              </w:rPr>
              <w:t>External</w:t>
            </w: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863E3D2" w14:textId="438D7DB4" w:rsidR="00F3680D" w:rsidRPr="000449BB" w:rsidRDefault="00F3680D" w:rsidP="00B079FA">
            <w:pPr>
              <w:pStyle w:val="Tablenormalcondensed"/>
              <w:rPr>
                <w:sz w:val="22"/>
                <w:szCs w:val="22"/>
              </w:rPr>
            </w:pPr>
            <w:r w:rsidRPr="000449BB">
              <w:rPr>
                <w:sz w:val="22"/>
                <w:szCs w:val="22"/>
              </w:rPr>
              <w:t>Chair of the Royal Commission</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27F2F1" w14:textId="261C43B9"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69FC092" w14:textId="255EE82D"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B83A5" w14:textId="44FDC344"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E62C48" w14:textId="5638D507"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03D89BE" w14:textId="120E8E13"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3DA11B7" w14:textId="5D5158C4"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4FD6C375" w14:textId="77777777" w:rsidTr="000449BB">
        <w:trPr>
          <w:trHeight w:val="233"/>
        </w:trPr>
        <w:tc>
          <w:tcPr>
            <w:tcW w:w="1129" w:type="dxa"/>
            <w:vMerge/>
            <w:tcBorders>
              <w:right w:val="single" w:sz="6" w:space="0" w:color="1F546B" w:themeColor="text2"/>
            </w:tcBorders>
            <w:vAlign w:val="center"/>
          </w:tcPr>
          <w:p w14:paraId="1C04875D"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C9AA49" w14:textId="791E9A30" w:rsidR="00F3680D" w:rsidRPr="000449BB" w:rsidRDefault="00F3680D" w:rsidP="00B079FA">
            <w:pPr>
              <w:pStyle w:val="Tablenormalcondensed"/>
              <w:rPr>
                <w:sz w:val="22"/>
                <w:szCs w:val="22"/>
                <w:highlight w:val="yellow"/>
              </w:rPr>
            </w:pPr>
            <w:r w:rsidRPr="000449BB">
              <w:rPr>
                <w:sz w:val="22"/>
                <w:szCs w:val="22"/>
              </w:rPr>
              <w:t xml:space="preserve">Commissioners </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796B8DD" w14:textId="260E0BAA"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3EEA59" w14:textId="03E245B7"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B1401C" w14:textId="1A991F80"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F53BAD" w14:textId="7F5A36CE"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FF3CF5" w14:textId="1481BABA"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D24610" w14:textId="42F57DB6"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70A1E749" w14:textId="77777777" w:rsidTr="000449BB">
        <w:trPr>
          <w:trHeight w:val="233"/>
        </w:trPr>
        <w:tc>
          <w:tcPr>
            <w:tcW w:w="1129" w:type="dxa"/>
            <w:vMerge/>
            <w:tcBorders>
              <w:right w:val="single" w:sz="6" w:space="0" w:color="1F546B" w:themeColor="text2"/>
            </w:tcBorders>
            <w:vAlign w:val="center"/>
          </w:tcPr>
          <w:p w14:paraId="6726A15B"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00920DC" w14:textId="65F8BF80" w:rsidR="00F3680D" w:rsidRPr="000449BB" w:rsidRDefault="00F3680D" w:rsidP="00B079FA">
            <w:pPr>
              <w:pStyle w:val="Tablenormalcondensed"/>
              <w:rPr>
                <w:sz w:val="22"/>
                <w:szCs w:val="22"/>
              </w:rPr>
            </w:pPr>
            <w:r w:rsidRPr="000449BB">
              <w:rPr>
                <w:sz w:val="22"/>
                <w:szCs w:val="22"/>
              </w:rPr>
              <w:t>Counsel Assisting</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93E7AFB" w14:textId="12D782A5"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00A79B" w14:textId="70BBB20E"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2AB688" w14:textId="6BAAB32D"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AA95559" w14:textId="0EA8BB5D"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3C1E48" w14:textId="77777777"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662A006" w14:textId="7A28958E"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4FB54239" w14:textId="77777777" w:rsidTr="000449BB">
        <w:trPr>
          <w:trHeight w:val="233"/>
        </w:trPr>
        <w:tc>
          <w:tcPr>
            <w:tcW w:w="1129" w:type="dxa"/>
            <w:vMerge/>
            <w:tcBorders>
              <w:right w:val="single" w:sz="6" w:space="0" w:color="1F546B" w:themeColor="text2"/>
            </w:tcBorders>
            <w:vAlign w:val="center"/>
          </w:tcPr>
          <w:p w14:paraId="5AC1400B"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2C2DB7C" w14:textId="349E16A6" w:rsidR="00F3680D" w:rsidRPr="000449BB" w:rsidRDefault="00F3680D" w:rsidP="00B079FA">
            <w:pPr>
              <w:pStyle w:val="Tablenormalcondensed"/>
              <w:rPr>
                <w:sz w:val="22"/>
                <w:szCs w:val="22"/>
              </w:rPr>
            </w:pPr>
            <w:r w:rsidRPr="000449BB">
              <w:rPr>
                <w:sz w:val="22"/>
                <w:szCs w:val="22"/>
              </w:rPr>
              <w:t>Royal Commission participants and interested parties</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6AF6B1" w14:textId="2FD79F45"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A86CB8D" w14:textId="7E05E00C"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3BC59A" w14:textId="77777777" w:rsidR="00F3680D" w:rsidRPr="000449BB" w:rsidRDefault="00F3680D" w:rsidP="00B079FA">
            <w:pPr>
              <w:pStyle w:val="Tablenormalcondensed"/>
              <w:rPr>
                <w:sz w:val="22"/>
                <w:szCs w:val="22"/>
                <w:highlight w:val="yellow"/>
              </w:rPr>
            </w:pP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187593" w14:textId="42711F3A"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632699" w14:textId="77777777"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CC9D25" w14:textId="08C7B915" w:rsidR="00F3680D" w:rsidRPr="000449BB" w:rsidRDefault="00F3680D" w:rsidP="00B079FA">
            <w:pPr>
              <w:pStyle w:val="Tablenormalcondensed"/>
              <w:rPr>
                <w:sz w:val="22"/>
                <w:szCs w:val="22"/>
                <w:highlight w:val="yellow"/>
              </w:rPr>
            </w:pPr>
            <w:r w:rsidRPr="000449BB">
              <w:rPr>
                <w:sz w:val="22"/>
                <w:szCs w:val="22"/>
              </w:rPr>
              <w:sym w:font="Wingdings" w:char="F0FC"/>
            </w:r>
          </w:p>
        </w:tc>
      </w:tr>
      <w:tr w:rsidR="00F3680D" w:rsidRPr="000449BB" w14:paraId="51773691" w14:textId="77777777" w:rsidTr="000449BB">
        <w:trPr>
          <w:trHeight w:val="233"/>
        </w:trPr>
        <w:tc>
          <w:tcPr>
            <w:tcW w:w="1129" w:type="dxa"/>
            <w:vMerge/>
            <w:tcBorders>
              <w:bottom w:val="single" w:sz="6" w:space="0" w:color="1F546B" w:themeColor="text2"/>
              <w:right w:val="single" w:sz="6" w:space="0" w:color="1F546B" w:themeColor="text2"/>
            </w:tcBorders>
            <w:vAlign w:val="center"/>
          </w:tcPr>
          <w:p w14:paraId="6C830671" w14:textId="77777777" w:rsidR="00F3680D" w:rsidRPr="000449BB" w:rsidRDefault="00F3680D" w:rsidP="00B079FA">
            <w:pPr>
              <w:pStyle w:val="Tablenormalcondensed"/>
              <w:rPr>
                <w:sz w:val="22"/>
                <w:szCs w:val="22"/>
              </w:rPr>
            </w:pPr>
          </w:p>
        </w:tc>
        <w:tc>
          <w:tcPr>
            <w:tcW w:w="4562"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99B1BAD" w14:textId="681F4F25" w:rsidR="00F3680D" w:rsidRPr="000449BB" w:rsidRDefault="00F3680D" w:rsidP="00B079FA">
            <w:pPr>
              <w:pStyle w:val="Tablenormalcondensed"/>
              <w:rPr>
                <w:sz w:val="22"/>
                <w:szCs w:val="22"/>
              </w:rPr>
            </w:pPr>
            <w:r w:rsidRPr="000449BB">
              <w:rPr>
                <w:sz w:val="22"/>
                <w:szCs w:val="22"/>
              </w:rPr>
              <w:t>Other Royal Commission stakeholders, including other government departments</w:t>
            </w:r>
          </w:p>
        </w:tc>
        <w:tc>
          <w:tcPr>
            <w:tcW w:w="643"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81BB26" w14:textId="142C2A44"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1F59205" w14:textId="7D5E34C9"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644"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EFB544" w14:textId="77777777" w:rsidR="00F3680D" w:rsidRPr="000449BB" w:rsidRDefault="00F3680D" w:rsidP="00B079FA">
            <w:pPr>
              <w:pStyle w:val="Tablenormalcondensed"/>
              <w:rPr>
                <w:sz w:val="22"/>
                <w:szCs w:val="22"/>
                <w:highlight w:val="yellow"/>
              </w:rPr>
            </w:pPr>
          </w:p>
        </w:tc>
        <w:tc>
          <w:tcPr>
            <w:tcW w:w="66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B09B750" w14:textId="221C0B2B" w:rsidR="00F3680D" w:rsidRPr="000449BB" w:rsidRDefault="00F3680D" w:rsidP="00B079FA">
            <w:pPr>
              <w:pStyle w:val="Tablenormalcondensed"/>
              <w:rPr>
                <w:sz w:val="22"/>
                <w:szCs w:val="22"/>
                <w:highlight w:val="yellow"/>
              </w:rPr>
            </w:pPr>
            <w:r w:rsidRPr="000449BB">
              <w:rPr>
                <w:sz w:val="22"/>
                <w:szCs w:val="22"/>
              </w:rPr>
              <w:sym w:font="Wingdings" w:char="F0FC"/>
            </w:r>
          </w:p>
        </w:tc>
        <w:tc>
          <w:tcPr>
            <w:tcW w:w="820"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CA4816" w14:textId="77777777" w:rsidR="00F3680D" w:rsidRPr="000449BB" w:rsidRDefault="00F3680D" w:rsidP="00B079FA">
            <w:pPr>
              <w:pStyle w:val="Tablenormalcondensed"/>
              <w:rPr>
                <w:sz w:val="22"/>
                <w:szCs w:val="22"/>
                <w:highlight w:val="yellow"/>
              </w:rPr>
            </w:pPr>
          </w:p>
        </w:tc>
        <w:tc>
          <w:tcPr>
            <w:tcW w:w="646"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13C4D89" w14:textId="28E525BF" w:rsidR="00F3680D" w:rsidRPr="000449BB" w:rsidRDefault="00F3680D" w:rsidP="00B079FA">
            <w:pPr>
              <w:pStyle w:val="Tablenormalcondensed"/>
              <w:rPr>
                <w:sz w:val="22"/>
                <w:szCs w:val="22"/>
                <w:highlight w:val="yellow"/>
              </w:rPr>
            </w:pPr>
            <w:r w:rsidRPr="000449BB">
              <w:rPr>
                <w:sz w:val="22"/>
                <w:szCs w:val="22"/>
              </w:rPr>
              <w:sym w:font="Wingdings" w:char="F0FC"/>
            </w:r>
          </w:p>
        </w:tc>
      </w:tr>
    </w:tbl>
    <w:p w14:paraId="52AF9628" w14:textId="77777777" w:rsidR="004D691E" w:rsidRDefault="004D691E"/>
    <w:tbl>
      <w:tblPr>
        <w:tblStyle w:val="Blanktable"/>
        <w:tblW w:w="5000" w:type="pct"/>
        <w:tblInd w:w="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o you will work with to get the job done&quot;"/>
      </w:tblPr>
      <w:tblGrid>
        <w:gridCol w:w="4860"/>
        <w:gridCol w:w="4763"/>
      </w:tblGrid>
      <w:tr w:rsidR="004D691E" w:rsidRPr="008023C3" w14:paraId="37FCA563" w14:textId="77777777" w:rsidTr="004D691E">
        <w:trPr>
          <w:tblHeader/>
        </w:trPr>
        <w:tc>
          <w:tcPr>
            <w:tcW w:w="5000" w:type="pct"/>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35206CDA" w14:textId="77777777" w:rsidR="004D691E" w:rsidRPr="008023C3" w:rsidRDefault="004D691E" w:rsidP="00F65837">
            <w:pPr>
              <w:pStyle w:val="Tableheading"/>
            </w:pPr>
            <w:r>
              <w:t>Your delegations as a manager</w:t>
            </w:r>
          </w:p>
        </w:tc>
      </w:tr>
      <w:tr w:rsidR="004D691E" w:rsidRPr="000449BB" w14:paraId="2A576DF5" w14:textId="77777777" w:rsidTr="004D691E">
        <w:tc>
          <w:tcPr>
            <w:tcW w:w="2525" w:type="pct"/>
            <w:tcBorders>
              <w:top w:val="nil"/>
              <w:left w:val="nil"/>
              <w:bottom w:val="single" w:sz="6" w:space="0" w:color="1F546B" w:themeColor="text2"/>
              <w:right w:val="single" w:sz="6" w:space="0" w:color="1F546B" w:themeColor="text2"/>
            </w:tcBorders>
          </w:tcPr>
          <w:p w14:paraId="726197A9" w14:textId="77777777" w:rsidR="004D691E" w:rsidRPr="000449BB" w:rsidRDefault="004D691E" w:rsidP="00F65837">
            <w:pPr>
              <w:pStyle w:val="Tablenormal0"/>
              <w:rPr>
                <w:sz w:val="22"/>
                <w:szCs w:val="22"/>
              </w:rPr>
            </w:pPr>
            <w:r w:rsidRPr="000449BB">
              <w:rPr>
                <w:sz w:val="22"/>
                <w:szCs w:val="22"/>
              </w:rPr>
              <w:t>Human Resources and financial delegations</w:t>
            </w:r>
          </w:p>
        </w:tc>
        <w:tc>
          <w:tcPr>
            <w:tcW w:w="2475" w:type="pct"/>
            <w:tcBorders>
              <w:top w:val="nil"/>
              <w:left w:val="single" w:sz="6" w:space="0" w:color="1F546B" w:themeColor="text2"/>
              <w:bottom w:val="single" w:sz="6" w:space="0" w:color="1F546B" w:themeColor="text2"/>
              <w:right w:val="nil"/>
            </w:tcBorders>
          </w:tcPr>
          <w:p w14:paraId="2504204A" w14:textId="15D7683B" w:rsidR="004D691E" w:rsidRPr="000449BB" w:rsidRDefault="004E1E7A" w:rsidP="00F65837">
            <w:pPr>
              <w:pStyle w:val="Tablenormal0"/>
              <w:rPr>
                <w:sz w:val="22"/>
                <w:szCs w:val="22"/>
              </w:rPr>
            </w:pPr>
            <w:r w:rsidRPr="000449BB">
              <w:rPr>
                <w:sz w:val="22"/>
                <w:szCs w:val="22"/>
              </w:rPr>
              <w:t>B</w:t>
            </w:r>
          </w:p>
        </w:tc>
      </w:tr>
      <w:tr w:rsidR="004D691E" w:rsidRPr="000449BB" w14:paraId="0D1D3935" w14:textId="77777777" w:rsidTr="004D691E">
        <w:tc>
          <w:tcPr>
            <w:tcW w:w="2525" w:type="pct"/>
            <w:tcBorders>
              <w:top w:val="single" w:sz="6" w:space="0" w:color="1F546B" w:themeColor="text2"/>
              <w:left w:val="nil"/>
              <w:bottom w:val="single" w:sz="6" w:space="0" w:color="1F546B" w:themeColor="text2"/>
              <w:right w:val="single" w:sz="6" w:space="0" w:color="1F546B" w:themeColor="text2"/>
            </w:tcBorders>
          </w:tcPr>
          <w:p w14:paraId="772216E2" w14:textId="77777777" w:rsidR="004D691E" w:rsidRPr="000449BB" w:rsidRDefault="004D691E" w:rsidP="00F65837">
            <w:pPr>
              <w:pStyle w:val="Tablenormal0"/>
              <w:rPr>
                <w:sz w:val="22"/>
                <w:szCs w:val="22"/>
              </w:rPr>
            </w:pPr>
            <w:r w:rsidRPr="000449BB">
              <w:rPr>
                <w:sz w:val="22"/>
                <w:szCs w:val="22"/>
              </w:rPr>
              <w:t>Direct reports</w:t>
            </w:r>
          </w:p>
        </w:tc>
        <w:tc>
          <w:tcPr>
            <w:tcW w:w="2475" w:type="pct"/>
            <w:tcBorders>
              <w:top w:val="single" w:sz="6" w:space="0" w:color="1F546B" w:themeColor="text2"/>
              <w:left w:val="single" w:sz="6" w:space="0" w:color="1F546B" w:themeColor="text2"/>
              <w:bottom w:val="single" w:sz="6" w:space="0" w:color="1F546B" w:themeColor="text2"/>
              <w:right w:val="nil"/>
            </w:tcBorders>
          </w:tcPr>
          <w:p w14:paraId="71D4D5DB" w14:textId="03C65BC1" w:rsidR="004D691E" w:rsidRPr="000449BB" w:rsidRDefault="003B38DC" w:rsidP="00F65837">
            <w:pPr>
              <w:pStyle w:val="Tablenormal0"/>
              <w:rPr>
                <w:sz w:val="22"/>
                <w:szCs w:val="22"/>
                <w:highlight w:val="green"/>
              </w:rPr>
            </w:pPr>
            <w:r w:rsidRPr="000449BB">
              <w:rPr>
                <w:sz w:val="22"/>
                <w:szCs w:val="22"/>
              </w:rPr>
              <w:t>7</w:t>
            </w:r>
          </w:p>
        </w:tc>
      </w:tr>
      <w:tr w:rsidR="004D691E" w:rsidRPr="000449BB" w14:paraId="6C09ECBC" w14:textId="77777777" w:rsidTr="004D691E">
        <w:tc>
          <w:tcPr>
            <w:tcW w:w="2525" w:type="pct"/>
            <w:tcBorders>
              <w:top w:val="single" w:sz="6" w:space="0" w:color="1F546B" w:themeColor="text2"/>
              <w:left w:val="nil"/>
              <w:bottom w:val="single" w:sz="6" w:space="0" w:color="1F546B" w:themeColor="text2"/>
              <w:right w:val="single" w:sz="6" w:space="0" w:color="1F546B" w:themeColor="text2"/>
            </w:tcBorders>
          </w:tcPr>
          <w:p w14:paraId="35286977" w14:textId="77777777" w:rsidR="004D691E" w:rsidRPr="000449BB" w:rsidRDefault="004D691E" w:rsidP="00F65837">
            <w:pPr>
              <w:pStyle w:val="Tablenormal0"/>
              <w:rPr>
                <w:sz w:val="22"/>
                <w:szCs w:val="22"/>
              </w:rPr>
            </w:pPr>
            <w:r w:rsidRPr="000449BB">
              <w:rPr>
                <w:sz w:val="22"/>
                <w:szCs w:val="22"/>
              </w:rPr>
              <w:t xml:space="preserve">Total number of </w:t>
            </w:r>
            <w:proofErr w:type="gramStart"/>
            <w:r w:rsidRPr="000449BB">
              <w:rPr>
                <w:sz w:val="22"/>
                <w:szCs w:val="22"/>
              </w:rPr>
              <w:t>staff</w:t>
            </w:r>
            <w:proofErr w:type="gramEnd"/>
            <w:r w:rsidRPr="000449BB">
              <w:rPr>
                <w:sz w:val="22"/>
                <w:szCs w:val="22"/>
              </w:rPr>
              <w:t xml:space="preserve"> reporting</w:t>
            </w:r>
          </w:p>
        </w:tc>
        <w:tc>
          <w:tcPr>
            <w:tcW w:w="2475" w:type="pct"/>
            <w:tcBorders>
              <w:top w:val="single" w:sz="6" w:space="0" w:color="1F546B" w:themeColor="text2"/>
              <w:left w:val="single" w:sz="6" w:space="0" w:color="1F546B" w:themeColor="text2"/>
              <w:bottom w:val="single" w:sz="6" w:space="0" w:color="1F546B" w:themeColor="text2"/>
              <w:right w:val="nil"/>
            </w:tcBorders>
          </w:tcPr>
          <w:p w14:paraId="6A62D172" w14:textId="750D79E9" w:rsidR="004D691E" w:rsidRPr="000449BB" w:rsidRDefault="003B38DC" w:rsidP="00F65837">
            <w:pPr>
              <w:pStyle w:val="Tablenormal0"/>
              <w:rPr>
                <w:sz w:val="22"/>
                <w:szCs w:val="22"/>
                <w:highlight w:val="green"/>
              </w:rPr>
            </w:pPr>
            <w:r w:rsidRPr="000449BB">
              <w:rPr>
                <w:sz w:val="22"/>
                <w:szCs w:val="22"/>
              </w:rPr>
              <w:t>–Up to 200</w:t>
            </w:r>
          </w:p>
        </w:tc>
      </w:tr>
    </w:tbl>
    <w:p w14:paraId="53CBDED5" w14:textId="77777777" w:rsidR="004D691E" w:rsidRPr="00B56EAD" w:rsidRDefault="004D691E" w:rsidP="00B56EAD">
      <w:pPr>
        <w:pStyle w:val="Tinyline"/>
        <w:tabs>
          <w:tab w:val="left" w:pos="4536"/>
        </w:tabs>
        <w:ind w:left="567"/>
        <w:rPr>
          <w:sz w:val="24"/>
        </w:rPr>
      </w:pPr>
    </w:p>
    <w:tbl>
      <w:tblPr>
        <w:tblStyle w:val="Blanktable"/>
        <w:tblW w:w="5000" w:type="pct"/>
        <w:tblInd w:w="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60"/>
        <w:gridCol w:w="4763"/>
      </w:tblGrid>
      <w:tr w:rsidR="004D691E" w:rsidRPr="008023C3" w14:paraId="1B652FBA" w14:textId="77777777" w:rsidTr="004D691E">
        <w:trPr>
          <w:tblHeader/>
        </w:trPr>
        <w:tc>
          <w:tcPr>
            <w:tcW w:w="2525" w:type="pct"/>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4F307901" w14:textId="77777777" w:rsidR="004D691E" w:rsidRPr="008023C3" w:rsidRDefault="004D691E" w:rsidP="00F65837">
            <w:pPr>
              <w:pStyle w:val="Tableheading"/>
            </w:pPr>
            <w:r w:rsidRPr="008023C3">
              <w:t>Your success profile for this role</w:t>
            </w:r>
          </w:p>
        </w:tc>
        <w:tc>
          <w:tcPr>
            <w:tcW w:w="2475" w:type="pct"/>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119EFD39" w14:textId="77777777" w:rsidR="004D691E" w:rsidRPr="008023C3" w:rsidRDefault="004D691E" w:rsidP="00F65837">
            <w:pPr>
              <w:pStyle w:val="Tableheading"/>
            </w:pPr>
            <w:r w:rsidRPr="008023C3">
              <w:t>What you will bring specifically</w:t>
            </w:r>
          </w:p>
        </w:tc>
      </w:tr>
      <w:tr w:rsidR="004D691E" w:rsidRPr="008023C3" w14:paraId="4B08CAEF" w14:textId="77777777" w:rsidTr="004D691E">
        <w:tc>
          <w:tcPr>
            <w:tcW w:w="2525" w:type="pct"/>
            <w:tcBorders>
              <w:top w:val="nil"/>
              <w:left w:val="nil"/>
              <w:bottom w:val="single" w:sz="6" w:space="0" w:color="1F546B" w:themeColor="text2"/>
              <w:right w:val="single" w:sz="6" w:space="0" w:color="1F546B" w:themeColor="text2"/>
            </w:tcBorders>
          </w:tcPr>
          <w:p w14:paraId="13E4B902" w14:textId="77777777" w:rsidR="004D691E" w:rsidRPr="000449BB" w:rsidRDefault="004D691E" w:rsidP="00F65837">
            <w:pPr>
              <w:pStyle w:val="Tablenormal0"/>
              <w:rPr>
                <w:sz w:val="22"/>
                <w:szCs w:val="22"/>
              </w:rPr>
            </w:pPr>
            <w:r w:rsidRPr="000449BB">
              <w:rPr>
                <w:sz w:val="22"/>
                <w:szCs w:val="22"/>
              </w:rPr>
              <w:t xml:space="preserve">At DIA, we have a Capability Framework to help guide our people towards the behaviours and skills needed to be successful. The core success profile for this role is </w:t>
            </w:r>
            <w:hyperlink r:id="rId17" w:history="1">
              <w:r w:rsidRPr="000449BB">
                <w:rPr>
                  <w:rStyle w:val="Hyperlink"/>
                  <w:sz w:val="22"/>
                  <w:szCs w:val="22"/>
                </w:rPr>
                <w:t>Senior Leader</w:t>
              </w:r>
            </w:hyperlink>
            <w:r w:rsidRPr="000449BB">
              <w:rPr>
                <w:sz w:val="22"/>
                <w:szCs w:val="22"/>
              </w:rPr>
              <w:t>.</w:t>
            </w:r>
          </w:p>
          <w:p w14:paraId="489A2B50" w14:textId="77777777" w:rsidR="004D691E" w:rsidRPr="000449BB" w:rsidRDefault="004D691E" w:rsidP="00F65837">
            <w:pPr>
              <w:pStyle w:val="Tablenormal0"/>
              <w:rPr>
                <w:sz w:val="22"/>
                <w:szCs w:val="22"/>
              </w:rPr>
            </w:pPr>
            <w:r w:rsidRPr="000449BB">
              <w:rPr>
                <w:b/>
                <w:bCs/>
                <w:sz w:val="22"/>
                <w:szCs w:val="22"/>
              </w:rPr>
              <w:t>Keys to Success:</w:t>
            </w:r>
          </w:p>
          <w:p w14:paraId="5D7C6EA2" w14:textId="77777777" w:rsidR="004D691E" w:rsidRPr="000449BB" w:rsidRDefault="004D691E" w:rsidP="00F65837">
            <w:pPr>
              <w:pStyle w:val="Tablebullet"/>
              <w:rPr>
                <w:sz w:val="22"/>
                <w:szCs w:val="22"/>
              </w:rPr>
            </w:pPr>
            <w:r w:rsidRPr="000449BB">
              <w:rPr>
                <w:sz w:val="22"/>
                <w:szCs w:val="22"/>
              </w:rPr>
              <w:t>Adaptive leadership</w:t>
            </w:r>
          </w:p>
          <w:p w14:paraId="09AD1D23" w14:textId="77777777" w:rsidR="004D691E" w:rsidRPr="000449BB" w:rsidRDefault="004D691E" w:rsidP="00F65837">
            <w:pPr>
              <w:pStyle w:val="Tablebullet"/>
              <w:rPr>
                <w:sz w:val="22"/>
                <w:szCs w:val="22"/>
              </w:rPr>
            </w:pPr>
            <w:r w:rsidRPr="000449BB">
              <w:rPr>
                <w:sz w:val="22"/>
                <w:szCs w:val="22"/>
              </w:rPr>
              <w:t>Driving innovation and transformation</w:t>
            </w:r>
          </w:p>
          <w:p w14:paraId="51438ADA" w14:textId="77777777" w:rsidR="004D691E" w:rsidRPr="000449BB" w:rsidRDefault="004D691E" w:rsidP="00F65837">
            <w:pPr>
              <w:pStyle w:val="Tablebullet"/>
              <w:rPr>
                <w:sz w:val="22"/>
                <w:szCs w:val="22"/>
              </w:rPr>
            </w:pPr>
            <w:r w:rsidRPr="000449BB">
              <w:rPr>
                <w:sz w:val="22"/>
                <w:szCs w:val="22"/>
              </w:rPr>
              <w:t>Strategic agility</w:t>
            </w:r>
          </w:p>
          <w:p w14:paraId="27329D72" w14:textId="77777777" w:rsidR="004D691E" w:rsidRPr="000449BB" w:rsidRDefault="004D691E" w:rsidP="00F65837">
            <w:pPr>
              <w:pStyle w:val="Tablebullet"/>
              <w:rPr>
                <w:sz w:val="22"/>
                <w:szCs w:val="22"/>
              </w:rPr>
            </w:pPr>
            <w:r w:rsidRPr="000449BB">
              <w:rPr>
                <w:sz w:val="22"/>
                <w:szCs w:val="22"/>
              </w:rPr>
              <w:t>Political savvy</w:t>
            </w:r>
          </w:p>
          <w:p w14:paraId="5BCEE67E" w14:textId="77777777" w:rsidR="004D691E" w:rsidRPr="000449BB" w:rsidRDefault="004D691E" w:rsidP="00F65837">
            <w:pPr>
              <w:pStyle w:val="Tablebullet"/>
              <w:rPr>
                <w:sz w:val="22"/>
                <w:szCs w:val="22"/>
              </w:rPr>
            </w:pPr>
            <w:r w:rsidRPr="000449BB">
              <w:rPr>
                <w:sz w:val="22"/>
                <w:szCs w:val="22"/>
              </w:rPr>
              <w:t>Empowering people for success</w:t>
            </w:r>
          </w:p>
          <w:p w14:paraId="2B6D65F0" w14:textId="77777777" w:rsidR="004D691E" w:rsidRPr="000449BB" w:rsidRDefault="004D691E" w:rsidP="00F65837">
            <w:pPr>
              <w:pStyle w:val="Tablebullet"/>
              <w:rPr>
                <w:sz w:val="22"/>
                <w:szCs w:val="22"/>
              </w:rPr>
            </w:pPr>
            <w:r w:rsidRPr="000449BB">
              <w:rPr>
                <w:sz w:val="22"/>
                <w:szCs w:val="22"/>
              </w:rPr>
              <w:t>Inspiring others through vision and purpose</w:t>
            </w:r>
          </w:p>
          <w:p w14:paraId="1EEC6CD3" w14:textId="77777777" w:rsidR="009E70C0" w:rsidRPr="000449BB" w:rsidRDefault="009E70C0" w:rsidP="00F65837">
            <w:pPr>
              <w:pStyle w:val="Tablebullet"/>
              <w:rPr>
                <w:sz w:val="22"/>
                <w:szCs w:val="22"/>
              </w:rPr>
            </w:pPr>
            <w:r w:rsidRPr="000449BB">
              <w:rPr>
                <w:sz w:val="22"/>
                <w:szCs w:val="22"/>
              </w:rPr>
              <w:t>Drive for results</w:t>
            </w:r>
          </w:p>
        </w:tc>
        <w:tc>
          <w:tcPr>
            <w:tcW w:w="2475" w:type="pct"/>
            <w:tcBorders>
              <w:top w:val="nil"/>
              <w:left w:val="single" w:sz="6" w:space="0" w:color="1F546B" w:themeColor="text2"/>
              <w:bottom w:val="single" w:sz="6" w:space="0" w:color="1F546B" w:themeColor="text2"/>
              <w:right w:val="nil"/>
            </w:tcBorders>
          </w:tcPr>
          <w:p w14:paraId="6F179CD0" w14:textId="77777777" w:rsidR="004D691E" w:rsidRPr="000449BB" w:rsidRDefault="004D691E" w:rsidP="00F65837">
            <w:pPr>
              <w:pStyle w:val="Tablenormal0"/>
              <w:rPr>
                <w:b/>
                <w:bCs/>
                <w:sz w:val="22"/>
                <w:szCs w:val="22"/>
              </w:rPr>
            </w:pPr>
            <w:r w:rsidRPr="000449BB">
              <w:rPr>
                <w:b/>
                <w:bCs/>
                <w:sz w:val="22"/>
                <w:szCs w:val="22"/>
              </w:rPr>
              <w:t xml:space="preserve">Experience: </w:t>
            </w:r>
          </w:p>
          <w:p w14:paraId="77E7C04F" w14:textId="77777777" w:rsidR="00CB04E0" w:rsidRPr="000449BB" w:rsidRDefault="004D691E" w:rsidP="00F55183">
            <w:pPr>
              <w:pStyle w:val="Tablebullet"/>
              <w:rPr>
                <w:sz w:val="22"/>
                <w:szCs w:val="22"/>
                <w:lang w:val="en-US"/>
              </w:rPr>
            </w:pPr>
            <w:r w:rsidRPr="000449BB">
              <w:rPr>
                <w:sz w:val="22"/>
                <w:szCs w:val="22"/>
              </w:rPr>
              <w:t xml:space="preserve">Proven experience in an executive public sector role </w:t>
            </w:r>
            <w:r w:rsidR="00CB04E0" w:rsidRPr="000449BB">
              <w:rPr>
                <w:sz w:val="22"/>
                <w:szCs w:val="22"/>
              </w:rPr>
              <w:t>such as</w:t>
            </w:r>
            <w:r w:rsidRPr="000449BB">
              <w:rPr>
                <w:sz w:val="22"/>
                <w:szCs w:val="22"/>
              </w:rPr>
              <w:t xml:space="preserve"> Deputy Secretary</w:t>
            </w:r>
            <w:r w:rsidR="00CB04E0" w:rsidRPr="000449BB">
              <w:rPr>
                <w:sz w:val="22"/>
                <w:szCs w:val="22"/>
              </w:rPr>
              <w:t xml:space="preserve">/ Deputy Chief Executive </w:t>
            </w:r>
          </w:p>
          <w:p w14:paraId="10C99482" w14:textId="77777777" w:rsidR="00CB04E0" w:rsidRPr="000449BB" w:rsidRDefault="00CB04E0" w:rsidP="005875E7">
            <w:pPr>
              <w:pStyle w:val="Tablebullet"/>
              <w:rPr>
                <w:sz w:val="22"/>
                <w:szCs w:val="22"/>
                <w:lang w:val="en-US"/>
              </w:rPr>
            </w:pPr>
            <w:r w:rsidRPr="000449BB">
              <w:rPr>
                <w:sz w:val="22"/>
                <w:szCs w:val="22"/>
              </w:rPr>
              <w:t xml:space="preserve">Successful experience in working in a complex and multifaceted environment </w:t>
            </w:r>
          </w:p>
          <w:p w14:paraId="2052F1CE" w14:textId="77777777" w:rsidR="00CB04E0" w:rsidRPr="000449BB" w:rsidRDefault="00CB04E0" w:rsidP="005875E7">
            <w:pPr>
              <w:pStyle w:val="Tablebullet"/>
              <w:rPr>
                <w:sz w:val="22"/>
                <w:szCs w:val="22"/>
                <w:lang w:val="en-US"/>
              </w:rPr>
            </w:pPr>
            <w:r w:rsidRPr="000449BB">
              <w:rPr>
                <w:sz w:val="22"/>
                <w:szCs w:val="22"/>
              </w:rPr>
              <w:t xml:space="preserve">Proven experience in building strong relationships which foster confidence and trust </w:t>
            </w:r>
          </w:p>
          <w:p w14:paraId="2913369E" w14:textId="77777777" w:rsidR="004E1E7A" w:rsidRPr="000449BB" w:rsidRDefault="00CB04E0" w:rsidP="00CB04E0">
            <w:pPr>
              <w:numPr>
                <w:ilvl w:val="0"/>
                <w:numId w:val="12"/>
              </w:numPr>
              <w:spacing w:before="40" w:after="40"/>
              <w:rPr>
                <w:sz w:val="22"/>
                <w:szCs w:val="22"/>
              </w:rPr>
            </w:pPr>
            <w:r w:rsidRPr="000449BB">
              <w:rPr>
                <w:sz w:val="22"/>
                <w:szCs w:val="22"/>
              </w:rPr>
              <w:t xml:space="preserve">Proven experience in working </w:t>
            </w:r>
            <w:r w:rsidR="004E1E7A" w:rsidRPr="000449BB">
              <w:rPr>
                <w:sz w:val="22"/>
                <w:szCs w:val="22"/>
              </w:rPr>
              <w:t>with iwi Māori and other Māori groups to achieve results</w:t>
            </w:r>
          </w:p>
          <w:p w14:paraId="61230983" w14:textId="77777777" w:rsidR="00CB04E0" w:rsidRPr="000449BB" w:rsidRDefault="004E1E7A" w:rsidP="00CB04E0">
            <w:pPr>
              <w:numPr>
                <w:ilvl w:val="0"/>
                <w:numId w:val="12"/>
              </w:numPr>
              <w:spacing w:before="40" w:after="40"/>
              <w:rPr>
                <w:sz w:val="22"/>
                <w:szCs w:val="22"/>
              </w:rPr>
            </w:pPr>
            <w:r w:rsidRPr="000449BB">
              <w:rPr>
                <w:sz w:val="22"/>
                <w:szCs w:val="22"/>
              </w:rPr>
              <w:t xml:space="preserve">Proven experience in working </w:t>
            </w:r>
            <w:r w:rsidR="00CB04E0" w:rsidRPr="000449BB">
              <w:rPr>
                <w:sz w:val="22"/>
                <w:szCs w:val="22"/>
              </w:rPr>
              <w:t>across diverse cultures, communities and organisations to achieve results</w:t>
            </w:r>
          </w:p>
          <w:p w14:paraId="1830D6AF" w14:textId="77777777" w:rsidR="00CB04E0" w:rsidRPr="000449BB" w:rsidRDefault="00CB04E0" w:rsidP="00CB04E0">
            <w:pPr>
              <w:numPr>
                <w:ilvl w:val="0"/>
                <w:numId w:val="12"/>
              </w:numPr>
              <w:spacing w:before="40" w:after="40"/>
              <w:rPr>
                <w:sz w:val="22"/>
                <w:szCs w:val="22"/>
              </w:rPr>
            </w:pPr>
            <w:r w:rsidRPr="000449BB">
              <w:rPr>
                <w:sz w:val="22"/>
                <w:szCs w:val="22"/>
              </w:rPr>
              <w:t>A proven ability to achieve outcomes and to deliver to diverse stakeholder expectations</w:t>
            </w:r>
          </w:p>
          <w:p w14:paraId="24A8C73A" w14:textId="77777777" w:rsidR="00CB04E0" w:rsidRPr="000449BB" w:rsidRDefault="00CB04E0" w:rsidP="00CB04E0">
            <w:pPr>
              <w:numPr>
                <w:ilvl w:val="0"/>
                <w:numId w:val="12"/>
              </w:numPr>
              <w:spacing w:before="40" w:after="40"/>
              <w:rPr>
                <w:sz w:val="22"/>
                <w:szCs w:val="22"/>
              </w:rPr>
            </w:pPr>
            <w:r w:rsidRPr="000449BB">
              <w:rPr>
                <w:sz w:val="22"/>
                <w:szCs w:val="22"/>
              </w:rPr>
              <w:t>A history of achievement in the development and delivery of large, complex work programmes to timelines and within budget</w:t>
            </w:r>
          </w:p>
          <w:p w14:paraId="79EFB2C4" w14:textId="77777777" w:rsidR="00CB04E0" w:rsidRPr="000449BB" w:rsidRDefault="00CB04E0" w:rsidP="00CB04E0">
            <w:pPr>
              <w:numPr>
                <w:ilvl w:val="0"/>
                <w:numId w:val="12"/>
              </w:numPr>
              <w:spacing w:before="40" w:after="40"/>
              <w:rPr>
                <w:sz w:val="22"/>
                <w:szCs w:val="22"/>
              </w:rPr>
            </w:pPr>
            <w:r w:rsidRPr="000449BB">
              <w:rPr>
                <w:sz w:val="22"/>
                <w:szCs w:val="22"/>
              </w:rPr>
              <w:t>Successful experience in leading and managing high performing teams</w:t>
            </w:r>
          </w:p>
          <w:p w14:paraId="7BA9F9F8" w14:textId="77777777" w:rsidR="004D691E" w:rsidRPr="000449BB" w:rsidRDefault="004D691E" w:rsidP="00F65837">
            <w:pPr>
              <w:pStyle w:val="Tablebullet"/>
              <w:rPr>
                <w:sz w:val="22"/>
                <w:szCs w:val="22"/>
              </w:rPr>
            </w:pPr>
            <w:r w:rsidRPr="000449BB">
              <w:rPr>
                <w:sz w:val="22"/>
                <w:szCs w:val="22"/>
              </w:rPr>
              <w:lastRenderedPageBreak/>
              <w:t>Demonstrated experience in public sector budget management</w:t>
            </w:r>
          </w:p>
          <w:p w14:paraId="42E7872B" w14:textId="77777777" w:rsidR="004E1E7A" w:rsidRPr="000449BB" w:rsidRDefault="004E1E7A" w:rsidP="00F65837">
            <w:pPr>
              <w:pStyle w:val="Tablebullet"/>
              <w:rPr>
                <w:sz w:val="22"/>
                <w:szCs w:val="22"/>
              </w:rPr>
            </w:pPr>
            <w:r w:rsidRPr="000449BB">
              <w:rPr>
                <w:sz w:val="22"/>
                <w:szCs w:val="22"/>
              </w:rPr>
              <w:t>Experience in delivering Inquiry, Tribunal or other reports to Government</w:t>
            </w:r>
          </w:p>
          <w:p w14:paraId="47396200" w14:textId="77777777" w:rsidR="004D691E" w:rsidRPr="000449BB" w:rsidRDefault="004D691E" w:rsidP="00F65837">
            <w:pPr>
              <w:pStyle w:val="Tablenormal0"/>
              <w:rPr>
                <w:b/>
                <w:bCs/>
                <w:sz w:val="22"/>
                <w:szCs w:val="22"/>
              </w:rPr>
            </w:pPr>
            <w:r w:rsidRPr="000449BB">
              <w:rPr>
                <w:b/>
                <w:bCs/>
                <w:sz w:val="22"/>
                <w:szCs w:val="22"/>
              </w:rPr>
              <w:t>Knowledge:</w:t>
            </w:r>
          </w:p>
          <w:p w14:paraId="7F716A9F" w14:textId="77777777" w:rsidR="004E1E7A" w:rsidRPr="000449BB" w:rsidRDefault="004D691E" w:rsidP="00F65837">
            <w:pPr>
              <w:pStyle w:val="Tablebullet"/>
              <w:rPr>
                <w:sz w:val="22"/>
                <w:szCs w:val="22"/>
              </w:rPr>
            </w:pPr>
            <w:r w:rsidRPr="000449BB">
              <w:rPr>
                <w:sz w:val="22"/>
                <w:szCs w:val="22"/>
              </w:rPr>
              <w:t>A comprehensive understanding of Government and parliamentary functions, processes, conventions, and structures</w:t>
            </w:r>
          </w:p>
          <w:p w14:paraId="3D1440AF" w14:textId="210ADA28" w:rsidR="004E1E7A" w:rsidRPr="000449BB" w:rsidRDefault="004E1E7A" w:rsidP="00F65837">
            <w:pPr>
              <w:pStyle w:val="Tablebullet"/>
              <w:rPr>
                <w:sz w:val="22"/>
                <w:szCs w:val="22"/>
              </w:rPr>
            </w:pPr>
            <w:r w:rsidRPr="000449BB">
              <w:rPr>
                <w:sz w:val="22"/>
                <w:szCs w:val="22"/>
              </w:rPr>
              <w:t>Knowledge of report delivery to Government</w:t>
            </w:r>
            <w:r w:rsidR="00EC6895" w:rsidRPr="000449BB">
              <w:rPr>
                <w:sz w:val="22"/>
                <w:szCs w:val="22"/>
              </w:rPr>
              <w:t xml:space="preserve"> </w:t>
            </w:r>
          </w:p>
          <w:p w14:paraId="4D025B35" w14:textId="4AD5EB34" w:rsidR="004D691E" w:rsidRPr="000449BB" w:rsidRDefault="004E1E7A" w:rsidP="00F65837">
            <w:pPr>
              <w:pStyle w:val="Tablebullet"/>
              <w:rPr>
                <w:sz w:val="22"/>
                <w:szCs w:val="22"/>
              </w:rPr>
            </w:pPr>
            <w:r w:rsidRPr="000449BB">
              <w:rPr>
                <w:sz w:val="22"/>
                <w:szCs w:val="22"/>
              </w:rPr>
              <w:t>Strong knowledge of</w:t>
            </w:r>
            <w:r w:rsidR="00EC6895" w:rsidRPr="000449BB">
              <w:rPr>
                <w:sz w:val="22"/>
                <w:szCs w:val="22"/>
              </w:rPr>
              <w:t xml:space="preserve"> </w:t>
            </w:r>
            <w:r w:rsidRPr="000449BB">
              <w:rPr>
                <w:sz w:val="22"/>
                <w:szCs w:val="22"/>
              </w:rPr>
              <w:t xml:space="preserve">Te </w:t>
            </w:r>
            <w:proofErr w:type="spellStart"/>
            <w:r w:rsidRPr="000449BB">
              <w:rPr>
                <w:sz w:val="22"/>
                <w:szCs w:val="22"/>
              </w:rPr>
              <w:t>Ao</w:t>
            </w:r>
            <w:proofErr w:type="spellEnd"/>
            <w:r w:rsidRPr="000449BB">
              <w:rPr>
                <w:sz w:val="22"/>
                <w:szCs w:val="22"/>
              </w:rPr>
              <w:t xml:space="preserve"> Māori and </w:t>
            </w:r>
            <w:r w:rsidR="00EC6895" w:rsidRPr="000449BB">
              <w:rPr>
                <w:sz w:val="22"/>
                <w:szCs w:val="22"/>
              </w:rPr>
              <w:t xml:space="preserve">the relationship </w:t>
            </w:r>
            <w:r w:rsidRPr="000449BB">
              <w:rPr>
                <w:sz w:val="22"/>
                <w:szCs w:val="22"/>
              </w:rPr>
              <w:t xml:space="preserve">between </w:t>
            </w:r>
            <w:r w:rsidR="00EC6895" w:rsidRPr="000449BB">
              <w:rPr>
                <w:sz w:val="22"/>
                <w:szCs w:val="22"/>
              </w:rPr>
              <w:t xml:space="preserve">Māori </w:t>
            </w:r>
            <w:r w:rsidRPr="000449BB">
              <w:rPr>
                <w:sz w:val="22"/>
                <w:szCs w:val="22"/>
              </w:rPr>
              <w:t>and the Crown</w:t>
            </w:r>
            <w:r w:rsidR="00EC6895" w:rsidRPr="000449BB">
              <w:rPr>
                <w:sz w:val="22"/>
                <w:szCs w:val="22"/>
              </w:rPr>
              <w:t xml:space="preserve"> </w:t>
            </w:r>
          </w:p>
          <w:p w14:paraId="6E71CDBA" w14:textId="77777777" w:rsidR="00EC6895" w:rsidRPr="000449BB" w:rsidRDefault="00EC6895" w:rsidP="00F65837">
            <w:pPr>
              <w:pStyle w:val="Tablebullet"/>
              <w:rPr>
                <w:sz w:val="22"/>
                <w:szCs w:val="22"/>
              </w:rPr>
            </w:pPr>
            <w:r w:rsidRPr="000449BB">
              <w:rPr>
                <w:sz w:val="22"/>
                <w:szCs w:val="22"/>
              </w:rPr>
              <w:t>Strong knowledge of programme management methodologies and techniques</w:t>
            </w:r>
          </w:p>
          <w:p w14:paraId="1EEE51BB" w14:textId="77777777" w:rsidR="004D691E" w:rsidRPr="000449BB" w:rsidRDefault="004D691E" w:rsidP="00F65837">
            <w:pPr>
              <w:pStyle w:val="Tablenormal0"/>
              <w:rPr>
                <w:b/>
                <w:bCs/>
                <w:sz w:val="22"/>
                <w:szCs w:val="22"/>
              </w:rPr>
            </w:pPr>
            <w:r w:rsidRPr="000449BB">
              <w:rPr>
                <w:b/>
                <w:bCs/>
                <w:sz w:val="22"/>
                <w:szCs w:val="22"/>
              </w:rPr>
              <w:t>Skills:</w:t>
            </w:r>
          </w:p>
          <w:p w14:paraId="37C241D5" w14:textId="77777777" w:rsidR="004D691E" w:rsidRPr="000449BB" w:rsidRDefault="004D691E" w:rsidP="00F65837">
            <w:pPr>
              <w:pStyle w:val="Tablebullet"/>
              <w:rPr>
                <w:sz w:val="22"/>
                <w:szCs w:val="22"/>
              </w:rPr>
            </w:pPr>
            <w:r w:rsidRPr="000449BB">
              <w:rPr>
                <w:sz w:val="22"/>
                <w:szCs w:val="22"/>
              </w:rPr>
              <w:t xml:space="preserve">Strong interpersonal </w:t>
            </w:r>
            <w:r w:rsidR="00F2339B" w:rsidRPr="000449BB">
              <w:rPr>
                <w:sz w:val="22"/>
                <w:szCs w:val="22"/>
              </w:rPr>
              <w:t xml:space="preserve">and relationship management </w:t>
            </w:r>
            <w:r w:rsidRPr="000449BB">
              <w:rPr>
                <w:sz w:val="22"/>
                <w:szCs w:val="22"/>
              </w:rPr>
              <w:t>skills – able to</w:t>
            </w:r>
            <w:r w:rsidR="00F2339B" w:rsidRPr="000449BB">
              <w:rPr>
                <w:sz w:val="22"/>
                <w:szCs w:val="22"/>
              </w:rPr>
              <w:t xml:space="preserve"> </w:t>
            </w:r>
            <w:r w:rsidRPr="000449BB">
              <w:rPr>
                <w:sz w:val="22"/>
                <w:szCs w:val="22"/>
              </w:rPr>
              <w:t xml:space="preserve">influence and gain the </w:t>
            </w:r>
            <w:r w:rsidR="00F2339B" w:rsidRPr="000449BB">
              <w:rPr>
                <w:sz w:val="22"/>
                <w:szCs w:val="22"/>
              </w:rPr>
              <w:t xml:space="preserve">trust and </w:t>
            </w:r>
            <w:r w:rsidRPr="000449BB">
              <w:rPr>
                <w:sz w:val="22"/>
                <w:szCs w:val="22"/>
              </w:rPr>
              <w:t>confidence of</w:t>
            </w:r>
            <w:r w:rsidR="00F2339B" w:rsidRPr="000449BB">
              <w:rPr>
                <w:sz w:val="22"/>
                <w:szCs w:val="22"/>
              </w:rPr>
              <w:t xml:space="preserve"> </w:t>
            </w:r>
            <w:r w:rsidRPr="000449BB">
              <w:rPr>
                <w:sz w:val="22"/>
                <w:szCs w:val="22"/>
              </w:rPr>
              <w:t>diverse stakeholders</w:t>
            </w:r>
          </w:p>
          <w:p w14:paraId="32646C7C" w14:textId="77777777" w:rsidR="00EC6895" w:rsidRPr="000449BB" w:rsidRDefault="00F2339B" w:rsidP="00EC6895">
            <w:pPr>
              <w:pStyle w:val="Tablebullet"/>
              <w:rPr>
                <w:sz w:val="22"/>
                <w:szCs w:val="22"/>
              </w:rPr>
            </w:pPr>
            <w:r w:rsidRPr="000449BB">
              <w:rPr>
                <w:sz w:val="22"/>
                <w:szCs w:val="22"/>
              </w:rPr>
              <w:t>E</w:t>
            </w:r>
            <w:r w:rsidR="00EC6895" w:rsidRPr="000449BB">
              <w:rPr>
                <w:sz w:val="22"/>
                <w:szCs w:val="22"/>
              </w:rPr>
              <w:t>xcellent judgement in dealing with complex, sensitive, or ambiguous issues</w:t>
            </w:r>
          </w:p>
          <w:p w14:paraId="51A29E4C" w14:textId="77777777" w:rsidR="00EC6895" w:rsidRPr="000449BB" w:rsidRDefault="00EC6895" w:rsidP="00F65837">
            <w:pPr>
              <w:pStyle w:val="Tablebullet"/>
              <w:rPr>
                <w:sz w:val="22"/>
                <w:szCs w:val="22"/>
              </w:rPr>
            </w:pPr>
            <w:r w:rsidRPr="000449BB">
              <w:rPr>
                <w:sz w:val="22"/>
                <w:szCs w:val="22"/>
              </w:rPr>
              <w:t>Ability to establish and utilise networks to identify and resolve issues, in a subtle and sometimes indirect way</w:t>
            </w:r>
          </w:p>
          <w:p w14:paraId="669FADDD" w14:textId="77777777" w:rsidR="00EC6895" w:rsidRPr="000449BB" w:rsidRDefault="00EC6895" w:rsidP="00EC6895">
            <w:pPr>
              <w:pStyle w:val="Tablebullet"/>
              <w:rPr>
                <w:sz w:val="22"/>
                <w:szCs w:val="22"/>
              </w:rPr>
            </w:pPr>
            <w:r w:rsidRPr="000449BB">
              <w:rPr>
                <w:sz w:val="22"/>
                <w:szCs w:val="22"/>
              </w:rPr>
              <w:t xml:space="preserve">Ability to drive </w:t>
            </w:r>
            <w:r w:rsidR="00F2339B" w:rsidRPr="000449BB">
              <w:rPr>
                <w:sz w:val="22"/>
                <w:szCs w:val="22"/>
              </w:rPr>
              <w:t xml:space="preserve">for </w:t>
            </w:r>
            <w:r w:rsidRPr="000449BB">
              <w:rPr>
                <w:sz w:val="22"/>
                <w:szCs w:val="22"/>
              </w:rPr>
              <w:t>high quality results</w:t>
            </w:r>
          </w:p>
          <w:p w14:paraId="16DDD27A" w14:textId="77777777" w:rsidR="00EC6895" w:rsidRPr="000449BB" w:rsidRDefault="00EC6895" w:rsidP="00EC6895">
            <w:pPr>
              <w:pStyle w:val="Tablebullet"/>
              <w:rPr>
                <w:sz w:val="22"/>
                <w:szCs w:val="22"/>
              </w:rPr>
            </w:pPr>
            <w:r w:rsidRPr="000449BB">
              <w:rPr>
                <w:sz w:val="22"/>
                <w:szCs w:val="22"/>
              </w:rPr>
              <w:t>Ability to take a strategic view and demonstrated agility to identify and progress innovative approaches to deliver results</w:t>
            </w:r>
          </w:p>
          <w:p w14:paraId="56E047F8" w14:textId="77777777" w:rsidR="00F2339B" w:rsidRPr="000449BB" w:rsidRDefault="00F2339B" w:rsidP="00EC6895">
            <w:pPr>
              <w:pStyle w:val="Tablebullet"/>
              <w:rPr>
                <w:sz w:val="22"/>
                <w:szCs w:val="22"/>
              </w:rPr>
            </w:pPr>
            <w:r w:rsidRPr="000449BB">
              <w:rPr>
                <w:sz w:val="22"/>
                <w:szCs w:val="22"/>
              </w:rPr>
              <w:t>Ability to create “buy in” and bring others with you</w:t>
            </w:r>
          </w:p>
          <w:p w14:paraId="7535D107" w14:textId="77777777" w:rsidR="00EC6895" w:rsidRPr="000449BB" w:rsidRDefault="00EC6895" w:rsidP="00EC6895">
            <w:pPr>
              <w:pStyle w:val="Tablebullet"/>
              <w:rPr>
                <w:sz w:val="22"/>
                <w:szCs w:val="22"/>
              </w:rPr>
            </w:pPr>
            <w:r w:rsidRPr="000449BB">
              <w:rPr>
                <w:sz w:val="22"/>
                <w:szCs w:val="22"/>
              </w:rPr>
              <w:t xml:space="preserve">Political </w:t>
            </w:r>
            <w:r w:rsidR="00F2339B" w:rsidRPr="000449BB">
              <w:rPr>
                <w:sz w:val="22"/>
                <w:szCs w:val="22"/>
              </w:rPr>
              <w:t>astuteness</w:t>
            </w:r>
            <w:r w:rsidRPr="000449BB">
              <w:rPr>
                <w:sz w:val="22"/>
                <w:szCs w:val="22"/>
              </w:rPr>
              <w:t xml:space="preserve"> </w:t>
            </w:r>
          </w:p>
          <w:p w14:paraId="2CA0F4E0" w14:textId="77777777" w:rsidR="004D691E" w:rsidRPr="000449BB" w:rsidRDefault="004D691E" w:rsidP="00F65837">
            <w:pPr>
              <w:pStyle w:val="Tablebullet"/>
              <w:rPr>
                <w:sz w:val="22"/>
                <w:szCs w:val="22"/>
              </w:rPr>
            </w:pPr>
            <w:r w:rsidRPr="000449BB">
              <w:rPr>
                <w:sz w:val="22"/>
                <w:szCs w:val="22"/>
              </w:rPr>
              <w:t xml:space="preserve">Practical, pragmatic, solutions-focused approach </w:t>
            </w:r>
            <w:r w:rsidR="00F2339B" w:rsidRPr="000449BB">
              <w:rPr>
                <w:sz w:val="22"/>
                <w:szCs w:val="22"/>
              </w:rPr>
              <w:t>to achievement of objectives</w:t>
            </w:r>
          </w:p>
          <w:p w14:paraId="35DF0E9E" w14:textId="77777777" w:rsidR="004D691E" w:rsidRPr="000449BB" w:rsidRDefault="004D691E" w:rsidP="00F65837">
            <w:pPr>
              <w:pStyle w:val="Tablenormal0"/>
              <w:rPr>
                <w:b/>
                <w:bCs/>
                <w:sz w:val="22"/>
                <w:szCs w:val="22"/>
              </w:rPr>
            </w:pPr>
            <w:r w:rsidRPr="000449BB">
              <w:rPr>
                <w:b/>
                <w:bCs/>
                <w:sz w:val="22"/>
                <w:szCs w:val="22"/>
              </w:rPr>
              <w:t>Other requirements:</w:t>
            </w:r>
          </w:p>
          <w:p w14:paraId="494083B0" w14:textId="77777777" w:rsidR="004D691E" w:rsidRPr="000449BB" w:rsidRDefault="004D691E" w:rsidP="00F65837">
            <w:pPr>
              <w:pStyle w:val="Tablebullet"/>
              <w:rPr>
                <w:sz w:val="22"/>
                <w:szCs w:val="22"/>
              </w:rPr>
            </w:pPr>
            <w:r w:rsidRPr="000449BB">
              <w:rPr>
                <w:sz w:val="22"/>
                <w:szCs w:val="22"/>
              </w:rPr>
              <w:t xml:space="preserve">A </w:t>
            </w:r>
            <w:r w:rsidR="004E1E7A" w:rsidRPr="000449BB">
              <w:rPr>
                <w:sz w:val="22"/>
                <w:szCs w:val="22"/>
              </w:rPr>
              <w:t xml:space="preserve">Confidential </w:t>
            </w:r>
            <w:r w:rsidRPr="000449BB">
              <w:rPr>
                <w:sz w:val="22"/>
                <w:szCs w:val="22"/>
              </w:rPr>
              <w:t>security clearance will be required</w:t>
            </w:r>
          </w:p>
        </w:tc>
      </w:tr>
    </w:tbl>
    <w:p w14:paraId="2B5DFE0E" w14:textId="77777777" w:rsidR="004D691E" w:rsidRDefault="004D691E" w:rsidP="00F2339B">
      <w:pPr>
        <w:pStyle w:val="Heading2withoverline"/>
        <w:pBdr>
          <w:top w:val="none" w:sz="0" w:space="0" w:color="auto"/>
        </w:pBdr>
      </w:pPr>
    </w:p>
    <w:sectPr w:rsidR="004D691E" w:rsidSect="000123EC">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13B3" w14:textId="77777777" w:rsidR="00F72838" w:rsidRDefault="00F72838">
      <w:r>
        <w:separator/>
      </w:r>
    </w:p>
    <w:p w14:paraId="6621679F" w14:textId="77777777" w:rsidR="00F72838" w:rsidRDefault="00F72838"/>
    <w:p w14:paraId="2A9119B0" w14:textId="77777777" w:rsidR="00F72838" w:rsidRDefault="00F72838"/>
  </w:endnote>
  <w:endnote w:type="continuationSeparator" w:id="0">
    <w:p w14:paraId="7CCC1F44" w14:textId="77777777" w:rsidR="00F72838" w:rsidRDefault="00F72838">
      <w:r>
        <w:continuationSeparator/>
      </w:r>
    </w:p>
    <w:p w14:paraId="3DD85C9A" w14:textId="77777777" w:rsidR="00F72838" w:rsidRDefault="00F72838"/>
    <w:p w14:paraId="3065652D" w14:textId="77777777" w:rsidR="00F72838" w:rsidRDefault="00F7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F0A1" w14:textId="195DBB1D" w:rsidR="007E2C0D" w:rsidRDefault="007E2C0D" w:rsidP="000123EC">
    <w:pPr>
      <w:pStyle w:val="Footer"/>
      <w:tabs>
        <w:tab w:val="right" w:pos="9639"/>
      </w:tabs>
      <w:ind w:right="-1"/>
    </w:pPr>
    <w:r>
      <w:tab/>
      <w:t xml:space="preserve">Page </w:t>
    </w:r>
    <w:r>
      <w:fldChar w:fldCharType="begin"/>
    </w:r>
    <w:r>
      <w:instrText xml:space="preserve"> PAGE  \* Arabic  \* MERGEFORMAT </w:instrText>
    </w:r>
    <w:r>
      <w:fldChar w:fldCharType="separate"/>
    </w:r>
    <w:r w:rsidR="007D08DD">
      <w:rPr>
        <w:noProof/>
      </w:rPr>
      <w:t>3</w:t>
    </w:r>
    <w:r>
      <w:fldChar w:fldCharType="end"/>
    </w:r>
    <w:r>
      <w:t xml:space="preserve"> of </w:t>
    </w:r>
    <w:r w:rsidR="00DB2676">
      <w:rPr>
        <w:noProof/>
      </w:rPr>
      <w:fldChar w:fldCharType="begin"/>
    </w:r>
    <w:r w:rsidR="00DB2676">
      <w:rPr>
        <w:noProof/>
      </w:rPr>
      <w:instrText xml:space="preserve"> NUMPAGES   \* MERGEFORMAT </w:instrText>
    </w:r>
    <w:r w:rsidR="00DB2676">
      <w:rPr>
        <w:noProof/>
      </w:rPr>
      <w:fldChar w:fldCharType="separate"/>
    </w:r>
    <w:r w:rsidR="007D08DD">
      <w:rPr>
        <w:noProof/>
      </w:rPr>
      <w:t>5</w:t>
    </w:r>
    <w:r w:rsidR="00DB26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5746" w14:textId="6BDE59D8" w:rsidR="007E2C0D" w:rsidRDefault="006273AC" w:rsidP="006273AC">
    <w:pPr>
      <w:pStyle w:val="Footer"/>
      <w:tabs>
        <w:tab w:val="right" w:pos="9639"/>
      </w:tabs>
      <w:ind w:right="-1"/>
      <w:jc w:val="right"/>
    </w:pPr>
    <w:r>
      <w:rPr>
        <w:noProof/>
        <w:lang w:eastAsia="en-NZ"/>
      </w:rPr>
      <w:drawing>
        <wp:inline distT="0" distB="0" distL="0" distR="0" wp14:anchorId="4C299E8A" wp14:editId="6AF84BBB">
          <wp:extent cx="2314659" cy="627436"/>
          <wp:effectExtent l="0" t="0" r="0" b="127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727" cy="6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0721" w14:textId="77777777" w:rsidR="00F72838" w:rsidRDefault="00F72838" w:rsidP="00FB1990">
      <w:pPr>
        <w:pStyle w:val="Spacer"/>
      </w:pPr>
      <w:r>
        <w:separator/>
      </w:r>
    </w:p>
    <w:p w14:paraId="65AF41C5" w14:textId="77777777" w:rsidR="00F72838" w:rsidRDefault="00F72838" w:rsidP="00FB1990">
      <w:pPr>
        <w:pStyle w:val="Spacer"/>
      </w:pPr>
    </w:p>
  </w:footnote>
  <w:footnote w:type="continuationSeparator" w:id="0">
    <w:p w14:paraId="007C020E" w14:textId="77777777" w:rsidR="00F72838" w:rsidRDefault="00F72838">
      <w:r>
        <w:continuationSeparator/>
      </w:r>
    </w:p>
    <w:p w14:paraId="306784C4" w14:textId="77777777" w:rsidR="00F72838" w:rsidRDefault="00F72838"/>
    <w:p w14:paraId="0E5D1718" w14:textId="77777777" w:rsidR="00F72838" w:rsidRDefault="00F72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A9F4" w14:textId="7DAE8195" w:rsidR="007E2C0D" w:rsidRPr="00CD3498" w:rsidRDefault="007E2C0D" w:rsidP="003F1357">
    <w:pPr>
      <w:pStyle w:val="Header"/>
      <w:tabs>
        <w:tab w:val="right" w:pos="9639"/>
      </w:tabs>
    </w:pPr>
    <w:r w:rsidRPr="00CD3498">
      <w:tab/>
      <w:t>The Department of Internal Affairs</w:t>
    </w:r>
  </w:p>
  <w:p w14:paraId="71997282" w14:textId="77777777" w:rsidR="007E2C0D" w:rsidRPr="00952122" w:rsidRDefault="007E2C0D"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225F" w14:textId="1309D588" w:rsidR="007E2C0D" w:rsidRDefault="007E2C0D">
    <w:pPr>
      <w:pStyle w:val="Header"/>
    </w:pPr>
    <w:r>
      <w:rPr>
        <w:noProof/>
        <w:lang w:eastAsia="en-NZ"/>
      </w:rPr>
      <w:drawing>
        <wp:anchor distT="0" distB="0" distL="114300" distR="114300" simplePos="0" relativeHeight="251657728" behindDoc="0" locked="0" layoutInCell="1" allowOverlap="1" wp14:anchorId="20DE4599" wp14:editId="20DE459A">
          <wp:simplePos x="0" y="0"/>
          <wp:positionH relativeFrom="page">
            <wp:align>center</wp:align>
          </wp:positionH>
          <wp:positionV relativeFrom="page">
            <wp:posOffset>294640</wp:posOffset>
          </wp:positionV>
          <wp:extent cx="6840000" cy="1566000"/>
          <wp:effectExtent l="0" t="0" r="0" b="0"/>
          <wp:wrapTopAndBottom/>
          <wp:docPr id="3" name="Picture 3"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15:restartNumberingAfterBreak="0">
    <w:nsid w:val="6C136B6B"/>
    <w:multiLevelType w:val="multilevel"/>
    <w:tmpl w:val="69DA42A6"/>
    <w:lvl w:ilvl="0">
      <w:start w:val="1"/>
      <w:numFmt w:val="bullet"/>
      <w:lvlText w:val=""/>
      <w:lvlJc w:val="left"/>
      <w:pPr>
        <w:ind w:left="357" w:hanging="357"/>
      </w:pPr>
      <w:rPr>
        <w:rFonts w:ascii="Symbol" w:hAnsi="Symbol" w:hint="default"/>
        <w:sz w:val="18"/>
      </w:rPr>
    </w:lvl>
    <w:lvl w:ilvl="1">
      <w:start w:val="1"/>
      <w:numFmt w:val="bullet"/>
      <w:lvlText w:val="‒"/>
      <w:lvlJc w:val="left"/>
      <w:pPr>
        <w:ind w:left="714" w:hanging="357"/>
      </w:pPr>
      <w:rPr>
        <w:rFonts w:ascii="Arial" w:hAnsi="Arial"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20"/>
  </w:num>
  <w:num w:numId="14">
    <w:abstractNumId w:val="7"/>
  </w:num>
  <w:num w:numId="15">
    <w:abstractNumId w:val="10"/>
  </w:num>
  <w:num w:numId="16">
    <w:abstractNumId w:val="21"/>
  </w:num>
  <w:num w:numId="17">
    <w:abstractNumId w:val="18"/>
  </w:num>
  <w:num w:numId="18">
    <w:abstractNumId w:val="13"/>
  </w:num>
  <w:num w:numId="19">
    <w:abstractNumId w:val="11"/>
  </w:num>
  <w:num w:numId="20">
    <w:abstractNumId w:val="8"/>
  </w:num>
  <w:num w:numId="21">
    <w:abstractNumId w:val="6"/>
  </w:num>
  <w:num w:numId="22">
    <w:abstractNumId w:val="19"/>
  </w:num>
  <w:num w:numId="23">
    <w:abstractNumId w:val="17"/>
  </w:num>
  <w:num w:numId="24">
    <w:abstractNumId w:val="17"/>
  </w:num>
  <w:num w:numId="25">
    <w:abstractNumId w:val="17"/>
  </w:num>
  <w:num w:numId="26">
    <w:abstractNumId w:val="17"/>
  </w:num>
  <w:num w:numId="2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AF"/>
    <w:rsid w:val="00003360"/>
    <w:rsid w:val="000037C8"/>
    <w:rsid w:val="000038C0"/>
    <w:rsid w:val="00003FC7"/>
    <w:rsid w:val="00005919"/>
    <w:rsid w:val="000062A5"/>
    <w:rsid w:val="00007C42"/>
    <w:rsid w:val="0001052F"/>
    <w:rsid w:val="0001222F"/>
    <w:rsid w:val="000123EC"/>
    <w:rsid w:val="00015020"/>
    <w:rsid w:val="0001647B"/>
    <w:rsid w:val="00016906"/>
    <w:rsid w:val="00020010"/>
    <w:rsid w:val="00026E01"/>
    <w:rsid w:val="00034673"/>
    <w:rsid w:val="00036671"/>
    <w:rsid w:val="00037226"/>
    <w:rsid w:val="000409E2"/>
    <w:rsid w:val="000449BB"/>
    <w:rsid w:val="00044EA1"/>
    <w:rsid w:val="0004558B"/>
    <w:rsid w:val="0004703F"/>
    <w:rsid w:val="00054319"/>
    <w:rsid w:val="00054574"/>
    <w:rsid w:val="0005649A"/>
    <w:rsid w:val="00063BB2"/>
    <w:rsid w:val="00065F18"/>
    <w:rsid w:val="00067005"/>
    <w:rsid w:val="00076035"/>
    <w:rsid w:val="00077013"/>
    <w:rsid w:val="0008288C"/>
    <w:rsid w:val="000839A8"/>
    <w:rsid w:val="00091C3A"/>
    <w:rsid w:val="00093F11"/>
    <w:rsid w:val="000A4375"/>
    <w:rsid w:val="000B3832"/>
    <w:rsid w:val="000D61F6"/>
    <w:rsid w:val="000E1FD7"/>
    <w:rsid w:val="000E3240"/>
    <w:rsid w:val="000E677B"/>
    <w:rsid w:val="000F4ADF"/>
    <w:rsid w:val="000F61AF"/>
    <w:rsid w:val="000F7AAD"/>
    <w:rsid w:val="0010171C"/>
    <w:rsid w:val="00102FAD"/>
    <w:rsid w:val="00105000"/>
    <w:rsid w:val="00121870"/>
    <w:rsid w:val="00126FDE"/>
    <w:rsid w:val="0013703F"/>
    <w:rsid w:val="00140ED2"/>
    <w:rsid w:val="00143B3E"/>
    <w:rsid w:val="00143E7C"/>
    <w:rsid w:val="0014415C"/>
    <w:rsid w:val="0014565E"/>
    <w:rsid w:val="001536C9"/>
    <w:rsid w:val="0016433D"/>
    <w:rsid w:val="001676BD"/>
    <w:rsid w:val="00184C0F"/>
    <w:rsid w:val="001A5F55"/>
    <w:rsid w:val="001C0031"/>
    <w:rsid w:val="001C0C30"/>
    <w:rsid w:val="001C15EE"/>
    <w:rsid w:val="001D0111"/>
    <w:rsid w:val="001D138D"/>
    <w:rsid w:val="001D30D4"/>
    <w:rsid w:val="001D7EAE"/>
    <w:rsid w:val="001E3565"/>
    <w:rsid w:val="001E64FC"/>
    <w:rsid w:val="001F0724"/>
    <w:rsid w:val="002007DF"/>
    <w:rsid w:val="002059C1"/>
    <w:rsid w:val="00205FE8"/>
    <w:rsid w:val="00206BA3"/>
    <w:rsid w:val="00215160"/>
    <w:rsid w:val="00216430"/>
    <w:rsid w:val="002165DD"/>
    <w:rsid w:val="002224B4"/>
    <w:rsid w:val="00224737"/>
    <w:rsid w:val="002255CE"/>
    <w:rsid w:val="00226D5E"/>
    <w:rsid w:val="00232B89"/>
    <w:rsid w:val="00235D95"/>
    <w:rsid w:val="00237A3D"/>
    <w:rsid w:val="00240E83"/>
    <w:rsid w:val="002502D1"/>
    <w:rsid w:val="00255E1D"/>
    <w:rsid w:val="00260A17"/>
    <w:rsid w:val="00261869"/>
    <w:rsid w:val="00265F69"/>
    <w:rsid w:val="00267EDC"/>
    <w:rsid w:val="00270EEC"/>
    <w:rsid w:val="002777D8"/>
    <w:rsid w:val="002779CD"/>
    <w:rsid w:val="002806A2"/>
    <w:rsid w:val="00285621"/>
    <w:rsid w:val="00295A4B"/>
    <w:rsid w:val="00297CC7"/>
    <w:rsid w:val="002A194F"/>
    <w:rsid w:val="002A4BD9"/>
    <w:rsid w:val="002A4FE7"/>
    <w:rsid w:val="002A7107"/>
    <w:rsid w:val="002B1CEB"/>
    <w:rsid w:val="002C71C6"/>
    <w:rsid w:val="002D3125"/>
    <w:rsid w:val="002D4F42"/>
    <w:rsid w:val="002E5F3C"/>
    <w:rsid w:val="002F7219"/>
    <w:rsid w:val="0030084C"/>
    <w:rsid w:val="003012FA"/>
    <w:rsid w:val="003039E1"/>
    <w:rsid w:val="003045C8"/>
    <w:rsid w:val="00307515"/>
    <w:rsid w:val="003129BA"/>
    <w:rsid w:val="003148FC"/>
    <w:rsid w:val="003170D5"/>
    <w:rsid w:val="0032132E"/>
    <w:rsid w:val="00330820"/>
    <w:rsid w:val="003465C8"/>
    <w:rsid w:val="00352B19"/>
    <w:rsid w:val="00355D7B"/>
    <w:rsid w:val="0035686B"/>
    <w:rsid w:val="00356EDF"/>
    <w:rsid w:val="0037016B"/>
    <w:rsid w:val="00370FC0"/>
    <w:rsid w:val="00373206"/>
    <w:rsid w:val="003737ED"/>
    <w:rsid w:val="00375B80"/>
    <w:rsid w:val="00377352"/>
    <w:rsid w:val="00383626"/>
    <w:rsid w:val="00384987"/>
    <w:rsid w:val="00390325"/>
    <w:rsid w:val="003A10DA"/>
    <w:rsid w:val="003A12C8"/>
    <w:rsid w:val="003A6FFE"/>
    <w:rsid w:val="003A7695"/>
    <w:rsid w:val="003B38DC"/>
    <w:rsid w:val="003B3A23"/>
    <w:rsid w:val="003B6592"/>
    <w:rsid w:val="003C772C"/>
    <w:rsid w:val="003D175D"/>
    <w:rsid w:val="003F1357"/>
    <w:rsid w:val="003F13AB"/>
    <w:rsid w:val="003F2B58"/>
    <w:rsid w:val="003F52D2"/>
    <w:rsid w:val="003F5886"/>
    <w:rsid w:val="0040020C"/>
    <w:rsid w:val="00401CA0"/>
    <w:rsid w:val="0040700B"/>
    <w:rsid w:val="00407F54"/>
    <w:rsid w:val="00411341"/>
    <w:rsid w:val="00413966"/>
    <w:rsid w:val="00415015"/>
    <w:rsid w:val="00415CDB"/>
    <w:rsid w:val="004231DC"/>
    <w:rsid w:val="00425358"/>
    <w:rsid w:val="0042551E"/>
    <w:rsid w:val="004264B1"/>
    <w:rsid w:val="00433AD8"/>
    <w:rsid w:val="00437A53"/>
    <w:rsid w:val="0045075C"/>
    <w:rsid w:val="004552A0"/>
    <w:rsid w:val="00457145"/>
    <w:rsid w:val="00457E34"/>
    <w:rsid w:val="00460A83"/>
    <w:rsid w:val="00460B3F"/>
    <w:rsid w:val="00464752"/>
    <w:rsid w:val="0046587F"/>
    <w:rsid w:val="00472A55"/>
    <w:rsid w:val="00476068"/>
    <w:rsid w:val="004763B3"/>
    <w:rsid w:val="00477619"/>
    <w:rsid w:val="004857D1"/>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691E"/>
    <w:rsid w:val="004D7473"/>
    <w:rsid w:val="004E1E7A"/>
    <w:rsid w:val="004E6477"/>
    <w:rsid w:val="004F19C6"/>
    <w:rsid w:val="004F2E8A"/>
    <w:rsid w:val="004F55E1"/>
    <w:rsid w:val="00501C4B"/>
    <w:rsid w:val="005028A7"/>
    <w:rsid w:val="005078B7"/>
    <w:rsid w:val="00510D73"/>
    <w:rsid w:val="00512ACB"/>
    <w:rsid w:val="0052216D"/>
    <w:rsid w:val="005231D0"/>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86977"/>
    <w:rsid w:val="00587BA5"/>
    <w:rsid w:val="00594AAA"/>
    <w:rsid w:val="00595B33"/>
    <w:rsid w:val="0059662F"/>
    <w:rsid w:val="00597D48"/>
    <w:rsid w:val="005A1C5E"/>
    <w:rsid w:val="005A2652"/>
    <w:rsid w:val="005B54C5"/>
    <w:rsid w:val="005B7254"/>
    <w:rsid w:val="005D3066"/>
    <w:rsid w:val="005D49F4"/>
    <w:rsid w:val="005D6013"/>
    <w:rsid w:val="005E19BB"/>
    <w:rsid w:val="005E4B13"/>
    <w:rsid w:val="005E4C02"/>
    <w:rsid w:val="005F01DF"/>
    <w:rsid w:val="005F3820"/>
    <w:rsid w:val="005F4DAE"/>
    <w:rsid w:val="005F76CC"/>
    <w:rsid w:val="005F7FE0"/>
    <w:rsid w:val="005F7FF8"/>
    <w:rsid w:val="006004C4"/>
    <w:rsid w:val="0060093D"/>
    <w:rsid w:val="00600CA4"/>
    <w:rsid w:val="00602416"/>
    <w:rsid w:val="006025CE"/>
    <w:rsid w:val="00603318"/>
    <w:rsid w:val="006041F2"/>
    <w:rsid w:val="006064F5"/>
    <w:rsid w:val="00617298"/>
    <w:rsid w:val="006273AC"/>
    <w:rsid w:val="00630675"/>
    <w:rsid w:val="00631961"/>
    <w:rsid w:val="006336F1"/>
    <w:rsid w:val="00637753"/>
    <w:rsid w:val="00642C87"/>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305"/>
    <w:rsid w:val="006A38B7"/>
    <w:rsid w:val="006A5C31"/>
    <w:rsid w:val="006B1CB2"/>
    <w:rsid w:val="006B1DD1"/>
    <w:rsid w:val="006B2693"/>
    <w:rsid w:val="006B3396"/>
    <w:rsid w:val="006B4FE7"/>
    <w:rsid w:val="006B60A5"/>
    <w:rsid w:val="006C195E"/>
    <w:rsid w:val="006D638F"/>
    <w:rsid w:val="006D7384"/>
    <w:rsid w:val="006E7BF7"/>
    <w:rsid w:val="006F2A5E"/>
    <w:rsid w:val="00701E2D"/>
    <w:rsid w:val="00702F2C"/>
    <w:rsid w:val="007068A6"/>
    <w:rsid w:val="007068C8"/>
    <w:rsid w:val="00715B8F"/>
    <w:rsid w:val="00725AB6"/>
    <w:rsid w:val="0073106E"/>
    <w:rsid w:val="007343E0"/>
    <w:rsid w:val="00737813"/>
    <w:rsid w:val="00755142"/>
    <w:rsid w:val="00756BB7"/>
    <w:rsid w:val="0075764B"/>
    <w:rsid w:val="00757920"/>
    <w:rsid w:val="00760C01"/>
    <w:rsid w:val="00761293"/>
    <w:rsid w:val="00763AAB"/>
    <w:rsid w:val="00765523"/>
    <w:rsid w:val="00767C04"/>
    <w:rsid w:val="007736A2"/>
    <w:rsid w:val="00780C7D"/>
    <w:rsid w:val="0078622B"/>
    <w:rsid w:val="007937BF"/>
    <w:rsid w:val="007A6226"/>
    <w:rsid w:val="007B3C61"/>
    <w:rsid w:val="007C492E"/>
    <w:rsid w:val="007D08DD"/>
    <w:rsid w:val="007D1918"/>
    <w:rsid w:val="007E2C0D"/>
    <w:rsid w:val="007F03F2"/>
    <w:rsid w:val="008014D7"/>
    <w:rsid w:val="008023C3"/>
    <w:rsid w:val="008031DF"/>
    <w:rsid w:val="008065D7"/>
    <w:rsid w:val="008111A3"/>
    <w:rsid w:val="00816C34"/>
    <w:rsid w:val="00816E30"/>
    <w:rsid w:val="0081703A"/>
    <w:rsid w:val="00820EC3"/>
    <w:rsid w:val="00821F4A"/>
    <w:rsid w:val="0082264B"/>
    <w:rsid w:val="0082765B"/>
    <w:rsid w:val="00832F24"/>
    <w:rsid w:val="008352B1"/>
    <w:rsid w:val="008353E7"/>
    <w:rsid w:val="00835BD7"/>
    <w:rsid w:val="0084233C"/>
    <w:rsid w:val="008428E8"/>
    <w:rsid w:val="00843D71"/>
    <w:rsid w:val="00846F11"/>
    <w:rsid w:val="0084745A"/>
    <w:rsid w:val="00857593"/>
    <w:rsid w:val="00870045"/>
    <w:rsid w:val="00876E5F"/>
    <w:rsid w:val="00877819"/>
    <w:rsid w:val="00884A12"/>
    <w:rsid w:val="00890CE4"/>
    <w:rsid w:val="00891ED7"/>
    <w:rsid w:val="008A1EF1"/>
    <w:rsid w:val="008A1F05"/>
    <w:rsid w:val="008A55F5"/>
    <w:rsid w:val="008A6518"/>
    <w:rsid w:val="008B4CD6"/>
    <w:rsid w:val="008B7B54"/>
    <w:rsid w:val="008C3187"/>
    <w:rsid w:val="008C5E4F"/>
    <w:rsid w:val="008D63B7"/>
    <w:rsid w:val="008D6A03"/>
    <w:rsid w:val="008D6CA7"/>
    <w:rsid w:val="008E508C"/>
    <w:rsid w:val="008E7FEE"/>
    <w:rsid w:val="008F2F06"/>
    <w:rsid w:val="008F31F5"/>
    <w:rsid w:val="008F3358"/>
    <w:rsid w:val="008F67F5"/>
    <w:rsid w:val="008F6BCE"/>
    <w:rsid w:val="008F7DEF"/>
    <w:rsid w:val="00900D4B"/>
    <w:rsid w:val="00905F9B"/>
    <w:rsid w:val="00913E95"/>
    <w:rsid w:val="009170B9"/>
    <w:rsid w:val="00923A87"/>
    <w:rsid w:val="00927482"/>
    <w:rsid w:val="0093110E"/>
    <w:rsid w:val="00936234"/>
    <w:rsid w:val="00936FF5"/>
    <w:rsid w:val="00937BC3"/>
    <w:rsid w:val="0094654B"/>
    <w:rsid w:val="009468F1"/>
    <w:rsid w:val="0095112B"/>
    <w:rsid w:val="00952122"/>
    <w:rsid w:val="0095337B"/>
    <w:rsid w:val="0095712A"/>
    <w:rsid w:val="009576D4"/>
    <w:rsid w:val="009712AF"/>
    <w:rsid w:val="00973A6D"/>
    <w:rsid w:val="009804E0"/>
    <w:rsid w:val="00983735"/>
    <w:rsid w:val="009853BD"/>
    <w:rsid w:val="009865AA"/>
    <w:rsid w:val="00987080"/>
    <w:rsid w:val="0098765A"/>
    <w:rsid w:val="00987E5B"/>
    <w:rsid w:val="00991620"/>
    <w:rsid w:val="0099455B"/>
    <w:rsid w:val="009968B0"/>
    <w:rsid w:val="009A5640"/>
    <w:rsid w:val="009A6CB2"/>
    <w:rsid w:val="009B0982"/>
    <w:rsid w:val="009B4C99"/>
    <w:rsid w:val="009C13FB"/>
    <w:rsid w:val="009C42A8"/>
    <w:rsid w:val="009D28CF"/>
    <w:rsid w:val="009D4075"/>
    <w:rsid w:val="009D546F"/>
    <w:rsid w:val="009E166E"/>
    <w:rsid w:val="009E40D1"/>
    <w:rsid w:val="009E5D36"/>
    <w:rsid w:val="009E6375"/>
    <w:rsid w:val="009E70C0"/>
    <w:rsid w:val="009E7CA0"/>
    <w:rsid w:val="009F57FF"/>
    <w:rsid w:val="00A04392"/>
    <w:rsid w:val="00A069CE"/>
    <w:rsid w:val="00A109D8"/>
    <w:rsid w:val="00A13BC3"/>
    <w:rsid w:val="00A16003"/>
    <w:rsid w:val="00A167D7"/>
    <w:rsid w:val="00A20E73"/>
    <w:rsid w:val="00A23D39"/>
    <w:rsid w:val="00A23EC2"/>
    <w:rsid w:val="00A24FBB"/>
    <w:rsid w:val="00A326A0"/>
    <w:rsid w:val="00A332E8"/>
    <w:rsid w:val="00A3453E"/>
    <w:rsid w:val="00A42ED2"/>
    <w:rsid w:val="00A44B33"/>
    <w:rsid w:val="00A50E00"/>
    <w:rsid w:val="00A52529"/>
    <w:rsid w:val="00A53624"/>
    <w:rsid w:val="00A55EAF"/>
    <w:rsid w:val="00A5766B"/>
    <w:rsid w:val="00A77512"/>
    <w:rsid w:val="00A83479"/>
    <w:rsid w:val="00A863E3"/>
    <w:rsid w:val="00A94161"/>
    <w:rsid w:val="00A97BFB"/>
    <w:rsid w:val="00AA4893"/>
    <w:rsid w:val="00AB0BBC"/>
    <w:rsid w:val="00AB12C9"/>
    <w:rsid w:val="00AB3A92"/>
    <w:rsid w:val="00AB478B"/>
    <w:rsid w:val="00AB47AC"/>
    <w:rsid w:val="00AB4AD9"/>
    <w:rsid w:val="00AC4630"/>
    <w:rsid w:val="00AD6E77"/>
    <w:rsid w:val="00AD7A25"/>
    <w:rsid w:val="00AD7BF3"/>
    <w:rsid w:val="00AE2666"/>
    <w:rsid w:val="00AE4FEF"/>
    <w:rsid w:val="00AF3A5A"/>
    <w:rsid w:val="00AF3E15"/>
    <w:rsid w:val="00AF5218"/>
    <w:rsid w:val="00AF60A0"/>
    <w:rsid w:val="00AF6A90"/>
    <w:rsid w:val="00B038F2"/>
    <w:rsid w:val="00B0480E"/>
    <w:rsid w:val="00B079FA"/>
    <w:rsid w:val="00B1026A"/>
    <w:rsid w:val="00B1300D"/>
    <w:rsid w:val="00B21166"/>
    <w:rsid w:val="00B263AE"/>
    <w:rsid w:val="00B33A6C"/>
    <w:rsid w:val="00B42F17"/>
    <w:rsid w:val="00B43A02"/>
    <w:rsid w:val="00B47091"/>
    <w:rsid w:val="00B54416"/>
    <w:rsid w:val="00B56534"/>
    <w:rsid w:val="00B56EAD"/>
    <w:rsid w:val="00B57329"/>
    <w:rsid w:val="00B57A21"/>
    <w:rsid w:val="00B62C3E"/>
    <w:rsid w:val="00B645DE"/>
    <w:rsid w:val="00B65857"/>
    <w:rsid w:val="00B66698"/>
    <w:rsid w:val="00B7059B"/>
    <w:rsid w:val="00B71984"/>
    <w:rsid w:val="00B745DC"/>
    <w:rsid w:val="00B84350"/>
    <w:rsid w:val="00B855A6"/>
    <w:rsid w:val="00B90EE6"/>
    <w:rsid w:val="00B91098"/>
    <w:rsid w:val="00B91904"/>
    <w:rsid w:val="00B92735"/>
    <w:rsid w:val="00B969ED"/>
    <w:rsid w:val="00BA77F1"/>
    <w:rsid w:val="00BB0D90"/>
    <w:rsid w:val="00BB2BCA"/>
    <w:rsid w:val="00BB3B51"/>
    <w:rsid w:val="00BB54C2"/>
    <w:rsid w:val="00BB60C6"/>
    <w:rsid w:val="00BB7984"/>
    <w:rsid w:val="00BC05BE"/>
    <w:rsid w:val="00BC3A87"/>
    <w:rsid w:val="00BC45F7"/>
    <w:rsid w:val="00BC460A"/>
    <w:rsid w:val="00BC6A06"/>
    <w:rsid w:val="00BD137C"/>
    <w:rsid w:val="00BD160F"/>
    <w:rsid w:val="00BE3BC7"/>
    <w:rsid w:val="00BE6C46"/>
    <w:rsid w:val="00BF0C5F"/>
    <w:rsid w:val="00BF1AB7"/>
    <w:rsid w:val="00BF7FE9"/>
    <w:rsid w:val="00C03596"/>
    <w:rsid w:val="00C05EEC"/>
    <w:rsid w:val="00C15A13"/>
    <w:rsid w:val="00C15D21"/>
    <w:rsid w:val="00C238D9"/>
    <w:rsid w:val="00C24A9D"/>
    <w:rsid w:val="00C2677E"/>
    <w:rsid w:val="00C31542"/>
    <w:rsid w:val="00C32604"/>
    <w:rsid w:val="00C4125C"/>
    <w:rsid w:val="00C5028E"/>
    <w:rsid w:val="00C52179"/>
    <w:rsid w:val="00C54E78"/>
    <w:rsid w:val="00C603BE"/>
    <w:rsid w:val="00C6078D"/>
    <w:rsid w:val="00C657CF"/>
    <w:rsid w:val="00C6783F"/>
    <w:rsid w:val="00C755C5"/>
    <w:rsid w:val="00C80D62"/>
    <w:rsid w:val="00C8388B"/>
    <w:rsid w:val="00C84944"/>
    <w:rsid w:val="00C90217"/>
    <w:rsid w:val="00C92A57"/>
    <w:rsid w:val="00C96BFD"/>
    <w:rsid w:val="00C96C98"/>
    <w:rsid w:val="00CA5358"/>
    <w:rsid w:val="00CB04E0"/>
    <w:rsid w:val="00CB1DCA"/>
    <w:rsid w:val="00CB7E82"/>
    <w:rsid w:val="00CD502A"/>
    <w:rsid w:val="00CD579D"/>
    <w:rsid w:val="00CE223F"/>
    <w:rsid w:val="00CF0C77"/>
    <w:rsid w:val="00CF12CF"/>
    <w:rsid w:val="00CF2C33"/>
    <w:rsid w:val="00CF4BE3"/>
    <w:rsid w:val="00D044E3"/>
    <w:rsid w:val="00D060D2"/>
    <w:rsid w:val="00D11CB8"/>
    <w:rsid w:val="00D12C74"/>
    <w:rsid w:val="00D13E2D"/>
    <w:rsid w:val="00D14394"/>
    <w:rsid w:val="00D242CD"/>
    <w:rsid w:val="00D24BA6"/>
    <w:rsid w:val="00D26F74"/>
    <w:rsid w:val="00D341C3"/>
    <w:rsid w:val="00D37ABD"/>
    <w:rsid w:val="00D42843"/>
    <w:rsid w:val="00D43F10"/>
    <w:rsid w:val="00D44732"/>
    <w:rsid w:val="00D4723E"/>
    <w:rsid w:val="00D5152A"/>
    <w:rsid w:val="00D521A4"/>
    <w:rsid w:val="00D560EB"/>
    <w:rsid w:val="00D57265"/>
    <w:rsid w:val="00D65145"/>
    <w:rsid w:val="00D71DA2"/>
    <w:rsid w:val="00D73D87"/>
    <w:rsid w:val="00D74314"/>
    <w:rsid w:val="00D8064C"/>
    <w:rsid w:val="00D81410"/>
    <w:rsid w:val="00D83BF3"/>
    <w:rsid w:val="00D91DB4"/>
    <w:rsid w:val="00D92505"/>
    <w:rsid w:val="00DA267C"/>
    <w:rsid w:val="00DA27B3"/>
    <w:rsid w:val="00DA5101"/>
    <w:rsid w:val="00DA62E8"/>
    <w:rsid w:val="00DA79EF"/>
    <w:rsid w:val="00DB0C0B"/>
    <w:rsid w:val="00DB0F0F"/>
    <w:rsid w:val="00DB2676"/>
    <w:rsid w:val="00DB3B74"/>
    <w:rsid w:val="00DC50E9"/>
    <w:rsid w:val="00DC5870"/>
    <w:rsid w:val="00DD0384"/>
    <w:rsid w:val="00DD0901"/>
    <w:rsid w:val="00DD2B80"/>
    <w:rsid w:val="00DD4AB0"/>
    <w:rsid w:val="00DE16B6"/>
    <w:rsid w:val="00DE3323"/>
    <w:rsid w:val="00DE36CA"/>
    <w:rsid w:val="00DE7E63"/>
    <w:rsid w:val="00DF5AA8"/>
    <w:rsid w:val="00DF77A2"/>
    <w:rsid w:val="00E003AC"/>
    <w:rsid w:val="00E0179C"/>
    <w:rsid w:val="00E25650"/>
    <w:rsid w:val="00E30BE1"/>
    <w:rsid w:val="00E367C5"/>
    <w:rsid w:val="00E37054"/>
    <w:rsid w:val="00E37E71"/>
    <w:rsid w:val="00E42486"/>
    <w:rsid w:val="00E42847"/>
    <w:rsid w:val="00E45862"/>
    <w:rsid w:val="00E46064"/>
    <w:rsid w:val="00E46A5A"/>
    <w:rsid w:val="00E604A1"/>
    <w:rsid w:val="00E65033"/>
    <w:rsid w:val="00E7293C"/>
    <w:rsid w:val="00E73AA8"/>
    <w:rsid w:val="00E76812"/>
    <w:rsid w:val="00E80228"/>
    <w:rsid w:val="00E86D2A"/>
    <w:rsid w:val="00E8711A"/>
    <w:rsid w:val="00E976AC"/>
    <w:rsid w:val="00EA2ED4"/>
    <w:rsid w:val="00EA491A"/>
    <w:rsid w:val="00EA6AD8"/>
    <w:rsid w:val="00EB1583"/>
    <w:rsid w:val="00EB5270"/>
    <w:rsid w:val="00EB54A9"/>
    <w:rsid w:val="00EC23FB"/>
    <w:rsid w:val="00EC6895"/>
    <w:rsid w:val="00EC7017"/>
    <w:rsid w:val="00ED4356"/>
    <w:rsid w:val="00ED7681"/>
    <w:rsid w:val="00EE243C"/>
    <w:rsid w:val="00EF5B26"/>
    <w:rsid w:val="00EF63C6"/>
    <w:rsid w:val="00F034FB"/>
    <w:rsid w:val="00F05606"/>
    <w:rsid w:val="00F057BD"/>
    <w:rsid w:val="00F105F5"/>
    <w:rsid w:val="00F1075A"/>
    <w:rsid w:val="00F151E8"/>
    <w:rsid w:val="00F22E82"/>
    <w:rsid w:val="00F2339B"/>
    <w:rsid w:val="00F2483A"/>
    <w:rsid w:val="00F337BF"/>
    <w:rsid w:val="00F33D14"/>
    <w:rsid w:val="00F3680D"/>
    <w:rsid w:val="00F473B6"/>
    <w:rsid w:val="00F52E57"/>
    <w:rsid w:val="00F53E06"/>
    <w:rsid w:val="00F54188"/>
    <w:rsid w:val="00F54CC0"/>
    <w:rsid w:val="00F556D2"/>
    <w:rsid w:val="00F65907"/>
    <w:rsid w:val="00F727A5"/>
    <w:rsid w:val="00F72838"/>
    <w:rsid w:val="00F847A9"/>
    <w:rsid w:val="00F97065"/>
    <w:rsid w:val="00FA2686"/>
    <w:rsid w:val="00FA5FE9"/>
    <w:rsid w:val="00FA67D2"/>
    <w:rsid w:val="00FA7CB9"/>
    <w:rsid w:val="00FB1990"/>
    <w:rsid w:val="00FB302F"/>
    <w:rsid w:val="00FB33AD"/>
    <w:rsid w:val="00FB5A92"/>
    <w:rsid w:val="00FC1C69"/>
    <w:rsid w:val="00FC3739"/>
    <w:rsid w:val="00FD1B11"/>
    <w:rsid w:val="00FE5AD9"/>
    <w:rsid w:val="00FE7A33"/>
    <w:rsid w:val="00FF3414"/>
    <w:rsid w:val="00FF5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E44CC"/>
  <w15:docId w15:val="{7A2A71A9-703C-42F4-9A34-DC366A3D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AC4630"/>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rsid w:val="0035686B"/>
    <w:rPr>
      <w:sz w:val="20"/>
      <w:szCs w:val="20"/>
    </w:rPr>
  </w:style>
  <w:style w:type="character" w:customStyle="1" w:styleId="CommentTextChar">
    <w:name w:val="Comment Text Char"/>
    <w:basedOn w:val="DefaultParagraphFont"/>
    <w:link w:val="CommentText"/>
    <w:uiPriority w:val="99"/>
    <w:semiHidden/>
    <w:rsid w:val="0035686B"/>
    <w:rPr>
      <w:sz w:val="20"/>
      <w:szCs w:val="20"/>
      <w:lang w:eastAsia="en-US"/>
    </w:rPr>
  </w:style>
  <w:style w:type="paragraph" w:styleId="CommentSubject">
    <w:name w:val="annotation subject"/>
    <w:basedOn w:val="CommentText"/>
    <w:next w:val="CommentText"/>
    <w:link w:val="CommentSubjectChar"/>
    <w:uiPriority w:val="99"/>
    <w:semiHidden/>
    <w:rsid w:val="0035686B"/>
    <w:rPr>
      <w:b/>
      <w:bCs/>
    </w:rPr>
  </w:style>
  <w:style w:type="character" w:customStyle="1" w:styleId="CommentSubjectChar">
    <w:name w:val="Comment Subject Char"/>
    <w:basedOn w:val="CommentTextChar"/>
    <w:link w:val="CommentSubject"/>
    <w:uiPriority w:val="99"/>
    <w:semiHidden/>
    <w:rsid w:val="0035686B"/>
    <w:rPr>
      <w:b/>
      <w:bCs/>
      <w:sz w:val="20"/>
      <w:szCs w:val="20"/>
      <w:lang w:eastAsia="en-US"/>
    </w:rPr>
  </w:style>
  <w:style w:type="paragraph" w:styleId="Revision">
    <w:name w:val="Revision"/>
    <w:hidden/>
    <w:uiPriority w:val="99"/>
    <w:semiHidden/>
    <w:rsid w:val="0035686B"/>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5224">
      <w:bodyDiv w:val="1"/>
      <w:marLeft w:val="0"/>
      <w:marRight w:val="0"/>
      <w:marTop w:val="0"/>
      <w:marBottom w:val="0"/>
      <w:divBdr>
        <w:top w:val="none" w:sz="0" w:space="0" w:color="auto"/>
        <w:left w:val="none" w:sz="0" w:space="0" w:color="auto"/>
        <w:bottom w:val="none" w:sz="0" w:space="0" w:color="auto"/>
        <w:right w:val="none" w:sz="0" w:space="0" w:color="auto"/>
      </w:divBdr>
    </w:div>
    <w:div w:id="841436190">
      <w:bodyDiv w:val="1"/>
      <w:marLeft w:val="0"/>
      <w:marRight w:val="0"/>
      <w:marTop w:val="0"/>
      <w:marBottom w:val="0"/>
      <w:divBdr>
        <w:top w:val="none" w:sz="0" w:space="0" w:color="auto"/>
        <w:left w:val="none" w:sz="0" w:space="0" w:color="auto"/>
        <w:bottom w:val="none" w:sz="0" w:space="0" w:color="auto"/>
        <w:right w:val="none" w:sz="0" w:space="0" w:color="auto"/>
      </w:divBdr>
    </w:div>
    <w:div w:id="1424960528">
      <w:bodyDiv w:val="1"/>
      <w:marLeft w:val="0"/>
      <w:marRight w:val="0"/>
      <w:marTop w:val="0"/>
      <w:marBottom w:val="0"/>
      <w:divBdr>
        <w:top w:val="none" w:sz="0" w:space="0" w:color="auto"/>
        <w:left w:val="none" w:sz="0" w:space="0" w:color="auto"/>
        <w:bottom w:val="none" w:sz="0" w:space="0" w:color="auto"/>
        <w:right w:val="none" w:sz="0" w:space="0" w:color="auto"/>
      </w:divBdr>
    </w:div>
    <w:div w:id="20923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ms.dia.govt.nz/DMS/Active/bsr.nsf/0/A9C779153BFB7200CC257D09006F172A/$file/4063613DA%20-%20DIA_Profile_Senior_Leade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Abuse in State Care</TermName>
          <TermId xmlns="http://schemas.microsoft.com/office/infopath/2007/PartnerControls">dc59db79-eaf5-435e-99a8-95c2d110d54a</TermId>
        </TermInfo>
      </Terms>
    </C3TopicNote>
    <TaxKeywordTaxHTField xmlns="55f734f0-82e3-448f-9814-59383e674136">
      <Terms xmlns="http://schemas.microsoft.com/office/infopath/2007/PartnerControls"/>
    </TaxKeywordTaxHTField>
    <DIANotes xmlns="55f734f0-82e3-448f-9814-59383e674136" xsi:nil="true"/>
    <TaxCatchAll xmlns="55f734f0-82e3-448f-9814-59383e674136">
      <Value>5</Value>
      <Value>1</Value>
      <Value>21</Value>
    </TaxCatchAll>
    <_dlc_DocId xmlns="55f734f0-82e3-448f-9814-59383e674136">ADXRF2XRTYKY-325267046-269</_dlc_DocId>
    <_dlc_DocIdUrl xmlns="55f734f0-82e3-448f-9814-59383e674136">
      <Url>https://dia.cohesion.net.nz/Sites/INQ/DHB/EIVC/_layouts/15/DocIdRedir.aspx?ID=ADXRF2XRTYKY-325267046-269</Url>
      <Description>ADXRF2XRTYKY-325267046-269</Description>
    </_dlc_DocIdUrl>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c632f80cc94348dbba913ebe5c1e5206 xmlns="55f734f0-82e3-448f-9814-59383e674136">
      <Terms xmlns="http://schemas.microsoft.com/office/infopath/2007/PartnerControls"/>
    </c632f80cc94348dbba913ebe5c1e520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xpression of Interest Document DIA" ma:contentTypeID="0x0101005496552013C0BA46BE88192D5C6EB20B0031A7FA90D65EA3409D3DB281A3363680005DF6AE4892584B4F9C7771E144FF5989" ma:contentTypeVersion="0" ma:contentTypeDescription="Use for any document related to an expression of interest" ma:contentTypeScope="" ma:versionID="12530fbe17918e733aa2f192b1d967cc">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ef4ae035ded45d380682655c81eca676"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632f80cc94348dbba913ebe5c1e5206" minOccurs="0"/>
                <xsd:element ref="ns4:la465409791e42468d5f7b47ae50468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287d4834-4106-4dbb-adbb-8b589db20a36" ma:anchorId="8a92c6f9-d464-43fc-ba42-fbcb7e5d0d1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c632f80cc94348dbba913ebe5c1e5206" ma:index="14" nillable="true" ma:taxonomy="true" ma:internalName="c632f80cc94348dbba913ebe5c1e5206" ma:taxonomyFieldName="DIAExpressionofInterestDocumentType" ma:displayName="Expression of Interest Document Type" ma:fieldId="{c632f80c-c943-48db-ba91-3ebe5c1e5206}" ma:sspId="caf61cd4-0327-4679-8f8a-6e41773e81e7" ma:termSetId="1bd81146-05ba-441c-b5de-820d7ba90ec3" ma:anchorId="00000000-0000-0000-0000-000000000000" ma:open="false" ma:isKeyword="false">
      <xsd:complexType>
        <xsd:sequence>
          <xsd:element ref="pc:Terms" minOccurs="0" maxOccurs="1"/>
        </xsd:sequence>
      </xsd:complexType>
    </xsd:element>
    <xsd:element name="la465409791e42468d5f7b47ae50468d" ma:index="16"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1713-9FA1-4F5B-841F-F2BB6535FCE2}">
  <ds:schemaRefs>
    <ds:schemaRef ds:uri="http://schemas.microsoft.com/sharepoint/v3/contenttype/forms"/>
  </ds:schemaRefs>
</ds:datastoreItem>
</file>

<file path=customXml/itemProps2.xml><?xml version="1.0" encoding="utf-8"?>
<ds:datastoreItem xmlns:ds="http://schemas.openxmlformats.org/officeDocument/2006/customXml" ds:itemID="{E946B9BC-F1B8-473D-A11E-56AEDE263F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f734f0-82e3-448f-9814-59383e674136"/>
    <ds:schemaRef ds:uri="http://purl.org/dc/elements/1.1/"/>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C725AA48-FCCC-4542-B0D1-3860A69E9B17}">
  <ds:schemaRefs>
    <ds:schemaRef ds:uri="http://schemas.microsoft.com/sharepoint/events"/>
  </ds:schemaRefs>
</ds:datastoreItem>
</file>

<file path=customXml/itemProps4.xml><?xml version="1.0" encoding="utf-8"?>
<ds:datastoreItem xmlns:ds="http://schemas.openxmlformats.org/officeDocument/2006/customXml" ds:itemID="{A64034FA-502D-477B-A32D-B7BA4991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147A94-EDFF-4E6E-AA2C-8A1FB902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2215</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Description - Exec Dir Abuse in Care Royal Commission - July 2021</vt:lpstr>
    </vt:vector>
  </TitlesOfParts>
  <Company>Department of Internal Affairs</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Exec Dir Abuse in Care Royal Commission - July 2021</dc:title>
  <dc:creator>Anna McKenzie</dc:creator>
  <cp:keywords/>
  <cp:lastModifiedBy>Meredith Atkinson</cp:lastModifiedBy>
  <cp:revision>5</cp:revision>
  <cp:lastPrinted>2021-07-06T20:49:00Z</cp:lastPrinted>
  <dcterms:created xsi:type="dcterms:W3CDTF">2021-07-22T00:14:00Z</dcterms:created>
  <dcterms:modified xsi:type="dcterms:W3CDTF">2021-07-22T00:18:00Z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0x0101005496552013C0BA46BE88192D5C6EB20B0031A7FA90D65EA3409D3DB281A3363680005DF6AE4892584B4F9C7771E144FF5989</vt:lpwstr>
  </property>
  <property fmtid="{D5CDD505-2E9C-101B-9397-08002B2CF9AE}" pid="3" name="f6a63413ce3d46c4a0c4711f8ed8587d">
    <vt:lpwstr>Correspondence|dcd6b05f-dc80-4336-b228-09aebf3d212c</vt:lpwstr>
  </property>
  <property fmtid="{D5CDD505-2E9C-101B-9397-08002B2CF9AE}" pid="4" name="_dlc_DocIdItemGuid">
    <vt:lpwstr>1e729385-d4d5-4ddc-bb95-ce13a33a77c4</vt:lpwstr>
  </property>
  <property fmtid="{D5CDD505-2E9C-101B-9397-08002B2CF9AE}" pid="5" name="TaxKeyword">
    <vt:lpwstr/>
  </property>
  <property fmtid="{D5CDD505-2E9C-101B-9397-08002B2CF9AE}" pid="6" name="Order">
    <vt:r8>3000</vt:r8>
  </property>
  <property fmtid="{D5CDD505-2E9C-101B-9397-08002B2CF9AE}" pid="7" name="DIAMeetingDocumentType">
    <vt:lpwstr/>
  </property>
  <property fmtid="{D5CDD505-2E9C-101B-9397-08002B2CF9AE}" pid="8" name="C3Topic">
    <vt:lpwstr>21;#Abuse in State Care|dc59db79-eaf5-435e-99a8-95c2d110d54a</vt:lpwstr>
  </property>
  <property fmtid="{D5CDD505-2E9C-101B-9397-08002B2CF9AE}" pid="9" name="DIASecurityClassification">
    <vt:lpwstr>1;#UNCLASSIFIED|875d92a8-67e2-4a32-9472-8fe99549e1eb</vt:lpwstr>
  </property>
  <property fmtid="{D5CDD505-2E9C-101B-9397-08002B2CF9AE}" pid="10" name="DIAEmailContentType">
    <vt:lpwstr>5;#Correspondence|dcd6b05f-dc80-4336-b228-09aebf3d212c</vt:lpwstr>
  </property>
  <property fmtid="{D5CDD505-2E9C-101B-9397-08002B2CF9AE}" pid="11" name="lce7def67b984ec8bf1b568ac38fa19b">
    <vt:lpwstr/>
  </property>
  <property fmtid="{D5CDD505-2E9C-101B-9397-08002B2CF9AE}" pid="12" name="DIABusinessUnit">
    <vt:lpwstr/>
  </property>
  <property fmtid="{D5CDD505-2E9C-101B-9397-08002B2CF9AE}" pid="13" name="if0041076d304ad8ac7b8136078c79a0">
    <vt:lpwstr>Correspondence|dcd6b05f-dc80-4336-b228-09aebf3d212c</vt:lpwstr>
  </property>
  <property fmtid="{D5CDD505-2E9C-101B-9397-08002B2CF9AE}" pid="14" name="DIABranch">
    <vt:lpwstr>243;#Policy, Regulation and Communities (PRC)|388bdc54-8530-47e5-acc4-c23a497eacf9</vt:lpwstr>
  </property>
  <property fmtid="{D5CDD505-2E9C-101B-9397-08002B2CF9AE}" pid="15" name="DIABusinessGroup">
    <vt:lpwstr>2013;#Inquiries|2e04b7ee-7639-4a9e-be03-b5a5013fb5fe</vt:lpwstr>
  </property>
  <property fmtid="{D5CDD505-2E9C-101B-9397-08002B2CF9AE}" pid="16" name="fa525ba192404975a66fed9c22b2ead5">
    <vt:lpwstr/>
  </property>
  <property fmtid="{D5CDD505-2E9C-101B-9397-08002B2CF9AE}" pid="17" name="DIAAdministrationDocumentType">
    <vt:lpwstr/>
  </property>
  <property fmtid="{D5CDD505-2E9C-101B-9397-08002B2CF9AE}" pid="18" name="k637144f3e274b809739df325940a5b6">
    <vt:lpwstr/>
  </property>
  <property fmtid="{D5CDD505-2E9C-101B-9397-08002B2CF9AE}" pid="19" name="h1f9cdbece21417ba49b6651e359761a">
    <vt:lpwstr/>
  </property>
  <property fmtid="{D5CDD505-2E9C-101B-9397-08002B2CF9AE}" pid="20" name="DIAExpressionofInterestDocumentType">
    <vt:lpwstr/>
  </property>
  <property fmtid="{D5CDD505-2E9C-101B-9397-08002B2CF9AE}" pid="21" name="DIAReportDocumentType">
    <vt:lpwstr/>
  </property>
  <property fmtid="{D5CDD505-2E9C-101B-9397-08002B2CF9AE}" pid="22" name="lf784f774b0643cab0b8dbeae7925389">
    <vt:lpwstr/>
  </property>
  <property fmtid="{D5CDD505-2E9C-101B-9397-08002B2CF9AE}" pid="23" name="bd8dc19ef4dc40d1a7f6aec304846d67">
    <vt:lpwstr/>
  </property>
  <property fmtid="{D5CDD505-2E9C-101B-9397-08002B2CF9AE}" pid="24" name="DIAPlanningDocumentType">
    <vt:lpwstr/>
  </property>
  <property fmtid="{D5CDD505-2E9C-101B-9397-08002B2CF9AE}" pid="25" name="SharedWithUsers">
    <vt:lpwstr>695;#Meredith Atkinson</vt:lpwstr>
  </property>
</Properties>
</file>