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AD101" w14:textId="77777777" w:rsidR="001676BD" w:rsidRDefault="00842DD1" w:rsidP="001676BD">
      <w:pPr>
        <w:pStyle w:val="Heading1"/>
      </w:pPr>
      <w:r>
        <w:t>Research Librarian</w:t>
      </w:r>
    </w:p>
    <w:p w14:paraId="5710D500" w14:textId="77777777" w:rsidR="001676BD" w:rsidRPr="001676BD" w:rsidRDefault="00842DD1" w:rsidP="001676BD">
      <w:pPr>
        <w:pStyle w:val="Heading2"/>
      </w:pPr>
      <w:r>
        <w:t>Information and Knowledge Services</w:t>
      </w:r>
      <w:r w:rsidR="001676BD" w:rsidRPr="001676BD">
        <w:t xml:space="preserve">, </w:t>
      </w:r>
      <w:r>
        <w:t>National Library of New Zealand, Alexander Turnbull Library</w:t>
      </w:r>
    </w:p>
    <w:p w14:paraId="3BC83F56" w14:textId="77777777" w:rsidR="00421C8F" w:rsidRDefault="001D30CB" w:rsidP="00267EDC">
      <w:r>
        <w:t xml:space="preserve">The purpose of this role is to provide research services to library users, complete arrangement and description to make collections accessible, and to assist in ensuring the preservation of and care for the collections. The role </w:t>
      </w:r>
      <w:r w:rsidR="00265C5D">
        <w:t>has</w:t>
      </w:r>
      <w:r>
        <w:t xml:space="preserve"> four main parts;</w:t>
      </w:r>
    </w:p>
    <w:p w14:paraId="0C329405" w14:textId="77777777" w:rsidR="001D30CB" w:rsidRDefault="001D30CB" w:rsidP="001D30CB">
      <w:pPr>
        <w:pStyle w:val="ListParagraph"/>
        <w:numPr>
          <w:ilvl w:val="0"/>
          <w:numId w:val="34"/>
        </w:numPr>
      </w:pPr>
      <w:r>
        <w:t>Responding to research enquiries in person or by correspondence</w:t>
      </w:r>
    </w:p>
    <w:p w14:paraId="0B654C20" w14:textId="77777777" w:rsidR="001D30CB" w:rsidRDefault="00665A0B" w:rsidP="001D30CB">
      <w:pPr>
        <w:pStyle w:val="ListParagraph"/>
        <w:numPr>
          <w:ilvl w:val="0"/>
          <w:numId w:val="34"/>
        </w:numPr>
      </w:pPr>
      <w:r>
        <w:t>Arrangement and d</w:t>
      </w:r>
      <w:r w:rsidR="001D30CB">
        <w:t xml:space="preserve">escription of </w:t>
      </w:r>
      <w:r w:rsidR="006665CD">
        <w:t xml:space="preserve">unpublished </w:t>
      </w:r>
      <w:r w:rsidR="001D30CB">
        <w:t>collections</w:t>
      </w:r>
    </w:p>
    <w:p w14:paraId="482625F7" w14:textId="77777777" w:rsidR="001D30CB" w:rsidRDefault="001D30CB" w:rsidP="001D30CB">
      <w:pPr>
        <w:pStyle w:val="ListParagraph"/>
        <w:numPr>
          <w:ilvl w:val="0"/>
          <w:numId w:val="34"/>
        </w:numPr>
      </w:pPr>
      <w:r>
        <w:t>Contributing to developing collection guides, client training materials and other outreach support</w:t>
      </w:r>
    </w:p>
    <w:p w14:paraId="7A8B535D" w14:textId="77777777" w:rsidR="001D30CB" w:rsidRDefault="001D30CB" w:rsidP="001D30CB">
      <w:pPr>
        <w:pStyle w:val="ListParagraph"/>
        <w:numPr>
          <w:ilvl w:val="0"/>
          <w:numId w:val="34"/>
        </w:numPr>
      </w:pPr>
      <w:r>
        <w:t>Supporting collection development activities</w:t>
      </w:r>
    </w:p>
    <w:p w14:paraId="4E0A006F" w14:textId="77777777" w:rsidR="000F605D" w:rsidRPr="00267EDC" w:rsidRDefault="000F605D" w:rsidP="000F605D">
      <w:pPr>
        <w:pStyle w:val="ListParagraph"/>
        <w:numPr>
          <w:ilvl w:val="0"/>
          <w:numId w:val="0"/>
        </w:numPr>
        <w:ind w:left="720"/>
      </w:pPr>
    </w:p>
    <w:p w14:paraId="70BF80A8" w14:textId="77777777" w:rsidR="001676BD" w:rsidRPr="005A2652" w:rsidRDefault="001676BD" w:rsidP="001676BD">
      <w:pPr>
        <w:pStyle w:val="Bullet"/>
        <w:rPr>
          <w:rStyle w:val="BullethighlightedChar"/>
        </w:rPr>
      </w:pPr>
      <w:r w:rsidRPr="009E40D1">
        <w:rPr>
          <w:rStyle w:val="BullethighlightedChar"/>
        </w:rPr>
        <w:t>Reporting to</w:t>
      </w:r>
      <w:r>
        <w:t>:</w:t>
      </w:r>
      <w:r w:rsidR="00285621">
        <w:t xml:space="preserve"> </w:t>
      </w:r>
      <w:r w:rsidR="001D30CB">
        <w:t xml:space="preserve">Reading Room Services Leader, or Online Research Services Leader, or Arrangement and Description Leader </w:t>
      </w:r>
    </w:p>
    <w:p w14:paraId="7DB7A12B" w14:textId="77777777" w:rsidR="001676BD" w:rsidRPr="005A2652" w:rsidRDefault="001676BD" w:rsidP="001676BD">
      <w:pPr>
        <w:pStyle w:val="Bullethighlighted"/>
        <w:rPr>
          <w:rStyle w:val="BullethighlightedChar"/>
        </w:rPr>
      </w:pPr>
      <w:r w:rsidRPr="00285621">
        <w:t>Location:</w:t>
      </w:r>
      <w:r>
        <w:t xml:space="preserve"> </w:t>
      </w:r>
      <w:r w:rsidR="00877EEA">
        <w:rPr>
          <w:b w:val="0"/>
          <w:color w:val="auto"/>
        </w:rPr>
        <w:t>Wellington</w:t>
      </w:r>
    </w:p>
    <w:p w14:paraId="08AEDD72" w14:textId="77777777" w:rsidR="001676BD" w:rsidRPr="005A2652" w:rsidRDefault="001C15EE" w:rsidP="001676BD">
      <w:pPr>
        <w:pStyle w:val="Bullet"/>
        <w:rPr>
          <w:rStyle w:val="BullethighlightedChar"/>
        </w:rPr>
      </w:pPr>
      <w:r w:rsidRPr="009E40D1">
        <w:rPr>
          <w:rStyle w:val="BullethighlightedChar"/>
        </w:rPr>
        <w:t>Salary range</w:t>
      </w:r>
      <w:r>
        <w:t>:</w:t>
      </w:r>
      <w:r w:rsidR="00877819">
        <w:t xml:space="preserve"> </w:t>
      </w:r>
      <w:r w:rsidR="00D13D1E">
        <w:t>INFO MGMT F</w:t>
      </w:r>
    </w:p>
    <w:p w14:paraId="37720467" w14:textId="77777777" w:rsidR="001676BD" w:rsidRPr="001C15EE" w:rsidRDefault="001676BD" w:rsidP="001C15EE">
      <w:pPr>
        <w:pStyle w:val="Heading2withoverline"/>
      </w:pPr>
      <w:r w:rsidRPr="00B56D48">
        <w:t>What we do matters</w:t>
      </w:r>
      <w:r>
        <w:t xml:space="preserve"> – o</w:t>
      </w:r>
      <w:r w:rsidRPr="004573F5">
        <w:rPr>
          <w:szCs w:val="32"/>
        </w:rPr>
        <w:t>ur purpose</w:t>
      </w:r>
    </w:p>
    <w:p w14:paraId="2C1FC0C8" w14:textId="77777777" w:rsidR="005D6013" w:rsidRPr="00285621" w:rsidRDefault="00BF0C5F" w:rsidP="00285621">
      <w:r w:rsidRPr="00285621">
        <w:t>Our purpose is t</w:t>
      </w:r>
      <w:r w:rsidR="001676BD" w:rsidRPr="00285621">
        <w:t>o serve and connect people, communities and government to build a safe, prosperous and respected nation.</w:t>
      </w:r>
    </w:p>
    <w:p w14:paraId="59337892" w14:textId="77777777" w:rsidR="001676BD" w:rsidRPr="00285621" w:rsidRDefault="00BF0C5F" w:rsidP="00285621">
      <w:r w:rsidRPr="00285621">
        <w:t>In other words, it’s all about helping to make New Zealand better for New Zealanders.</w:t>
      </w:r>
    </w:p>
    <w:p w14:paraId="26A5508F" w14:textId="77777777"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3ED2D135" w14:textId="77777777" w:rsidTr="006336F1">
        <w:tc>
          <w:tcPr>
            <w:tcW w:w="1701" w:type="dxa"/>
            <w:vMerge w:val="restart"/>
          </w:tcPr>
          <w:p w14:paraId="2F10376C" w14:textId="77777777" w:rsidR="0046587F" w:rsidRDefault="0046587F" w:rsidP="0046587F">
            <w:pPr>
              <w:pStyle w:val="Tablenormal0"/>
              <w:ind w:left="-108"/>
            </w:pPr>
            <w:r>
              <w:rPr>
                <w:noProof/>
                <w:lang w:eastAsia="en-NZ"/>
              </w:rPr>
              <w:drawing>
                <wp:inline distT="0" distB="0" distL="0" distR="0" wp14:anchorId="39C6A451" wp14:editId="149A87E7">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8"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1C2AE9ED" w14:textId="77777777" w:rsidR="0046587F" w:rsidRPr="00DA62E8" w:rsidRDefault="0046587F" w:rsidP="00DA62E8">
            <w:pPr>
              <w:pStyle w:val="Heading3"/>
            </w:pPr>
            <w:r w:rsidRPr="00DA62E8">
              <w:t xml:space="preserve">We make it easy, we make it work </w:t>
            </w:r>
          </w:p>
          <w:p w14:paraId="355CEBB6" w14:textId="77777777" w:rsidR="0046587F" w:rsidRPr="00DA62E8" w:rsidRDefault="0046587F" w:rsidP="00DA62E8">
            <w:pPr>
              <w:pStyle w:val="Tablebullet"/>
            </w:pPr>
            <w:r w:rsidRPr="00DA62E8">
              <w:t>Customer centred</w:t>
            </w:r>
          </w:p>
          <w:p w14:paraId="48CB6AF3" w14:textId="77777777" w:rsidR="0046587F" w:rsidRPr="00BF0C5F" w:rsidRDefault="0046587F" w:rsidP="00DA62E8">
            <w:pPr>
              <w:pStyle w:val="Tablebullet"/>
            </w:pPr>
            <w:r w:rsidRPr="00DA62E8">
              <w:t>Make things even better</w:t>
            </w:r>
          </w:p>
        </w:tc>
      </w:tr>
      <w:tr w:rsidR="0046587F" w14:paraId="717E14EE" w14:textId="77777777" w:rsidTr="006336F1">
        <w:tc>
          <w:tcPr>
            <w:tcW w:w="1701" w:type="dxa"/>
            <w:vMerge/>
          </w:tcPr>
          <w:p w14:paraId="38B0AB6E" w14:textId="77777777" w:rsidR="0046587F" w:rsidRDefault="0046587F" w:rsidP="00DA62E8">
            <w:pPr>
              <w:pStyle w:val="Tablenormal0"/>
            </w:pPr>
          </w:p>
        </w:tc>
        <w:tc>
          <w:tcPr>
            <w:tcW w:w="8557" w:type="dxa"/>
          </w:tcPr>
          <w:p w14:paraId="6CAD783F" w14:textId="77777777" w:rsidR="0046587F" w:rsidRPr="005D6013" w:rsidRDefault="0046587F" w:rsidP="00DA62E8">
            <w:pPr>
              <w:pStyle w:val="Heading3"/>
            </w:pPr>
            <w:r w:rsidRPr="005D6013">
              <w:t xml:space="preserve">We’re stronger together </w:t>
            </w:r>
          </w:p>
          <w:p w14:paraId="55EAE832" w14:textId="77777777" w:rsidR="0046587F" w:rsidRPr="00DA62E8" w:rsidRDefault="0046587F" w:rsidP="00DA62E8">
            <w:pPr>
              <w:pStyle w:val="Tablebullet"/>
            </w:pPr>
            <w:r w:rsidRPr="00DA62E8">
              <w:t>Work as a team</w:t>
            </w:r>
          </w:p>
          <w:p w14:paraId="2FDAA1CD" w14:textId="77777777" w:rsidR="0046587F" w:rsidRPr="00BF0C5F" w:rsidRDefault="0046587F" w:rsidP="00DA62E8">
            <w:pPr>
              <w:pStyle w:val="Tablebullet"/>
            </w:pPr>
            <w:r w:rsidRPr="00DA62E8">
              <w:t>Value each other</w:t>
            </w:r>
          </w:p>
        </w:tc>
      </w:tr>
      <w:tr w:rsidR="0046587F" w14:paraId="73F0CC40" w14:textId="77777777" w:rsidTr="006336F1">
        <w:tc>
          <w:tcPr>
            <w:tcW w:w="1701" w:type="dxa"/>
            <w:vMerge/>
          </w:tcPr>
          <w:p w14:paraId="0CF5D80A" w14:textId="77777777" w:rsidR="0046587F" w:rsidRDefault="0046587F" w:rsidP="00DA62E8">
            <w:pPr>
              <w:pStyle w:val="Tablenormal0"/>
            </w:pPr>
          </w:p>
        </w:tc>
        <w:tc>
          <w:tcPr>
            <w:tcW w:w="8557" w:type="dxa"/>
          </w:tcPr>
          <w:p w14:paraId="4E6DA88F" w14:textId="77777777" w:rsidR="0046587F" w:rsidRPr="005D6013" w:rsidRDefault="0046587F" w:rsidP="00DA62E8">
            <w:pPr>
              <w:pStyle w:val="Heading3"/>
            </w:pPr>
            <w:r w:rsidRPr="005D6013">
              <w:t xml:space="preserve">We take pride in what we do </w:t>
            </w:r>
          </w:p>
          <w:p w14:paraId="5FE8673D" w14:textId="77777777" w:rsidR="0046587F" w:rsidRPr="00DA62E8" w:rsidRDefault="0046587F" w:rsidP="00DA62E8">
            <w:pPr>
              <w:pStyle w:val="Tablebullet"/>
            </w:pPr>
            <w:r w:rsidRPr="00DA62E8">
              <w:t>Make a positive difference</w:t>
            </w:r>
          </w:p>
          <w:p w14:paraId="71CD8193" w14:textId="77777777" w:rsidR="0046587F" w:rsidRPr="00BF0C5F" w:rsidRDefault="0046587F" w:rsidP="00DA62E8">
            <w:pPr>
              <w:pStyle w:val="Tablebullet"/>
            </w:pPr>
            <w:r w:rsidRPr="00DA62E8">
              <w:t>Strive for excellence</w:t>
            </w:r>
          </w:p>
        </w:tc>
      </w:tr>
    </w:tbl>
    <w:p w14:paraId="77D8AA28" w14:textId="77777777" w:rsidR="00535DF5" w:rsidRPr="00767FB1" w:rsidRDefault="00535DF5" w:rsidP="00285621">
      <w:pPr>
        <w:pStyle w:val="Heading2withoverline"/>
      </w:pPr>
      <w:r w:rsidRPr="00767FB1">
        <w:t xml:space="preserve">Working </w:t>
      </w:r>
      <w:r w:rsidR="001E3565">
        <w:t xml:space="preserve">effectively </w:t>
      </w:r>
      <w:r w:rsidRPr="00767FB1">
        <w:t xml:space="preserve">with </w:t>
      </w:r>
      <w:r w:rsidRPr="00535DF5">
        <w:t>Māori</w:t>
      </w:r>
    </w:p>
    <w:p w14:paraId="4E04CAEC" w14:textId="77777777" w:rsidR="0056672E" w:rsidRDefault="0056672E" w:rsidP="0056672E">
      <w:r>
        <w:t xml:space="preserve">Te Aka Taiwhenua – our Māori Strategic Framework – enables us to work effectively with Māori. Te Aka Taiwhenua is underpinned by our </w:t>
      </w:r>
      <w:proofErr w:type="spellStart"/>
      <w:r>
        <w:t>mātāpono</w:t>
      </w:r>
      <w:proofErr w:type="spellEnd"/>
      <w:r>
        <w:t xml:space="preserve"> – Kotahitanga, </w:t>
      </w:r>
      <w:proofErr w:type="spellStart"/>
      <w:r>
        <w:t>Manaakitanga</w:t>
      </w:r>
      <w:proofErr w:type="spellEnd"/>
      <w:r>
        <w:t xml:space="preserve">, </w:t>
      </w:r>
      <w:proofErr w:type="spellStart"/>
      <w:r>
        <w:t>Whānaungatanga</w:t>
      </w:r>
      <w:proofErr w:type="spellEnd"/>
      <w:r>
        <w:t xml:space="preserve">, He </w:t>
      </w:r>
      <w:proofErr w:type="spellStart"/>
      <w:r>
        <w:t>Tāngata</w:t>
      </w:r>
      <w:proofErr w:type="spellEnd"/>
      <w:r>
        <w:t>.</w:t>
      </w:r>
    </w:p>
    <w:p w14:paraId="28E9AC75" w14:textId="77777777" w:rsidR="00DA62E8" w:rsidRDefault="0056672E">
      <w:r>
        <w:t xml:space="preserve">As DIA is an agent of the Crown, Te </w:t>
      </w:r>
      <w:proofErr w:type="spellStart"/>
      <w:r>
        <w:t>Tiriti</w:t>
      </w:r>
      <w:proofErr w:type="spellEnd"/>
      <w:r>
        <w:t xml:space="preserve">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w:t>
      </w:r>
      <w:proofErr w:type="spellStart"/>
      <w:r>
        <w:t>Tiriti</w:t>
      </w:r>
      <w:proofErr w:type="spellEnd"/>
      <w:r>
        <w:t xml:space="preserve"> o Waitangi.</w:t>
      </w:r>
    </w:p>
    <w:p w14:paraId="2789CD7C" w14:textId="77777777" w:rsidR="00952122" w:rsidRDefault="00952122" w:rsidP="00DA62E8">
      <w:pPr>
        <w:pStyle w:val="Tinyline"/>
        <w:sectPr w:rsidR="00952122" w:rsidSect="00952122">
          <w:headerReference w:type="default" r:id="rId9"/>
          <w:footerReference w:type="default" r:id="rId10"/>
          <w:headerReference w:type="first" r:id="rId11"/>
          <w:footerReference w:type="first" r:id="rId12"/>
          <w:pgSz w:w="11907" w:h="16840" w:code="9"/>
          <w:pgMar w:top="1134" w:right="567" w:bottom="992" w:left="567" w:header="425" w:footer="635" w:gutter="0"/>
          <w:cols w:space="708"/>
          <w:titlePg/>
          <w:docGrid w:linePitch="360"/>
        </w:sectPr>
      </w:pPr>
    </w:p>
    <w:p w14:paraId="6C9CE4BD" w14:textId="77777777" w:rsidR="006713ED" w:rsidRDefault="006713ED" w:rsidP="00DA62E8">
      <w:pPr>
        <w:pStyle w:val="Tinyline"/>
      </w:pPr>
    </w:p>
    <w:p w14:paraId="5A000691"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656"/>
        <w:gridCol w:w="3859"/>
      </w:tblGrid>
      <w:tr w:rsidR="001C15EE" w:rsidRPr="006B2693" w14:paraId="0D369E87" w14:textId="77777777" w:rsidTr="003D175D">
        <w:trPr>
          <w:cantSplit/>
          <w:tblHeader/>
        </w:trPr>
        <w:tc>
          <w:tcPr>
            <w:tcW w:w="5812" w:type="dxa"/>
            <w:tcBorders>
              <w:bottom w:val="nil"/>
              <w:right w:val="single" w:sz="6" w:space="0" w:color="FFFFFF" w:themeColor="background1"/>
            </w:tcBorders>
            <w:shd w:val="clear" w:color="auto" w:fill="1F546B" w:themeFill="text2"/>
          </w:tcPr>
          <w:p w14:paraId="4E08D5B2" w14:textId="77777777"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tcBorders>
              <w:left w:val="single" w:sz="6" w:space="0" w:color="FFFFFF" w:themeColor="background1"/>
              <w:bottom w:val="nil"/>
            </w:tcBorders>
            <w:shd w:val="clear" w:color="auto" w:fill="1F546B" w:themeFill="text2"/>
          </w:tcPr>
          <w:p w14:paraId="43FAF285" w14:textId="77777777" w:rsidR="001C15EE" w:rsidRPr="006B2693" w:rsidRDefault="006B2693" w:rsidP="008023C3">
            <w:pPr>
              <w:pStyle w:val="Tableheading"/>
            </w:pPr>
            <w:r w:rsidRPr="006B2693">
              <w:t xml:space="preserve">As a </w:t>
            </w:r>
            <w:proofErr w:type="gramStart"/>
            <w:r w:rsidRPr="006B2693">
              <w:t>result</w:t>
            </w:r>
            <w:proofErr w:type="gramEnd"/>
            <w:r w:rsidRPr="006B2693">
              <w:t xml:space="preserve"> we will see</w:t>
            </w:r>
          </w:p>
        </w:tc>
      </w:tr>
      <w:tr w:rsidR="003D175D" w:rsidRPr="003D175D" w14:paraId="7D9687AE" w14:textId="77777777" w:rsidTr="003D175D">
        <w:trPr>
          <w:cantSplit/>
        </w:trPr>
        <w:tc>
          <w:tcPr>
            <w:tcW w:w="5812" w:type="dxa"/>
            <w:tcBorders>
              <w:top w:val="nil"/>
              <w:left w:val="nil"/>
              <w:bottom w:val="single" w:sz="6" w:space="0" w:color="1F546B" w:themeColor="text2"/>
              <w:right w:val="single" w:sz="6" w:space="0" w:color="1F546B" w:themeColor="text2"/>
            </w:tcBorders>
          </w:tcPr>
          <w:p w14:paraId="036C5C17" w14:textId="77777777" w:rsidR="003D175D" w:rsidRPr="00CD1F58" w:rsidRDefault="007827B7" w:rsidP="003D175D">
            <w:pPr>
              <w:pStyle w:val="Tablenormal0"/>
              <w:rPr>
                <w:b/>
                <w:bCs/>
              </w:rPr>
            </w:pPr>
            <w:r w:rsidRPr="00CD1F58">
              <w:rPr>
                <w:b/>
                <w:bCs/>
              </w:rPr>
              <w:t>Research Services</w:t>
            </w:r>
          </w:p>
          <w:p w14:paraId="6F1596EC" w14:textId="77777777" w:rsidR="0084591F" w:rsidRPr="00CD1F58" w:rsidRDefault="0084591F" w:rsidP="0084591F">
            <w:pPr>
              <w:pStyle w:val="Tablebullet"/>
            </w:pPr>
            <w:r w:rsidRPr="00CD1F58">
              <w:t>Provide research assistance, through rostered desk duties and by answering written enquiries from off-site researchers</w:t>
            </w:r>
          </w:p>
          <w:p w14:paraId="2A4BE142" w14:textId="77777777" w:rsidR="0072750F" w:rsidRPr="00CD1F58" w:rsidRDefault="0072750F" w:rsidP="003D175D">
            <w:pPr>
              <w:pStyle w:val="Tablebullet"/>
            </w:pPr>
            <w:r w:rsidRPr="00CD1F58">
              <w:t>Conduct comprehensive reference interviews when appropriate to guide clients to most relevant research sources</w:t>
            </w:r>
          </w:p>
          <w:p w14:paraId="3C0D6ED4" w14:textId="77777777" w:rsidR="005B500E" w:rsidRPr="00CD1F58" w:rsidRDefault="005B500E" w:rsidP="003D175D">
            <w:pPr>
              <w:pStyle w:val="Tablebullet"/>
            </w:pPr>
            <w:r w:rsidRPr="00CD1F58">
              <w:t>Assist clients with ordering and delivery procedures for obtaining copies material in the Library’s collections</w:t>
            </w:r>
          </w:p>
          <w:p w14:paraId="6A618A4A" w14:textId="77777777" w:rsidR="006665CD" w:rsidRPr="00CD1F58" w:rsidRDefault="006665CD" w:rsidP="00F97F43">
            <w:pPr>
              <w:pStyle w:val="Tablebullet"/>
              <w:numPr>
                <w:ilvl w:val="0"/>
                <w:numId w:val="0"/>
              </w:numPr>
            </w:pPr>
          </w:p>
        </w:tc>
        <w:tc>
          <w:tcPr>
            <w:tcW w:w="3935" w:type="dxa"/>
            <w:tcBorders>
              <w:top w:val="nil"/>
              <w:left w:val="single" w:sz="6" w:space="0" w:color="1F546B" w:themeColor="text2"/>
              <w:bottom w:val="single" w:sz="6" w:space="0" w:color="1F546B" w:themeColor="text2"/>
              <w:right w:val="nil"/>
            </w:tcBorders>
          </w:tcPr>
          <w:p w14:paraId="3B031977" w14:textId="77777777" w:rsidR="00F97F43" w:rsidRPr="00CD1F58" w:rsidRDefault="00F97F43" w:rsidP="00F97F43">
            <w:pPr>
              <w:pStyle w:val="Tablebullet"/>
            </w:pPr>
            <w:r w:rsidRPr="00CD1F58">
              <w:t>Researchers receive a welcoming introduction to the Library’s research services.</w:t>
            </w:r>
          </w:p>
          <w:p w14:paraId="00F4C93E" w14:textId="4AD8E4FF" w:rsidR="00F97F43" w:rsidRPr="00CD1F58" w:rsidRDefault="00F97F43" w:rsidP="00F97F43">
            <w:pPr>
              <w:pStyle w:val="Tablebullet"/>
            </w:pPr>
            <w:r w:rsidRPr="00CD1F58">
              <w:t xml:space="preserve">Researchers understand how our processes operate and where appropriate are able to use them </w:t>
            </w:r>
            <w:r w:rsidR="00183CDB" w:rsidRPr="00CD1F58">
              <w:t>independently</w:t>
            </w:r>
          </w:p>
          <w:p w14:paraId="49D90F4A" w14:textId="77777777" w:rsidR="00155DC0" w:rsidRPr="00CD1F58" w:rsidRDefault="00D6259A" w:rsidP="00155DC0">
            <w:pPr>
              <w:pStyle w:val="Tablebullet"/>
            </w:pPr>
            <w:r w:rsidRPr="00CD1F58">
              <w:t xml:space="preserve">Written </w:t>
            </w:r>
            <w:r w:rsidR="0084591F" w:rsidRPr="00CD1F58">
              <w:t xml:space="preserve">and onsite </w:t>
            </w:r>
            <w:r w:rsidRPr="00CD1F58">
              <w:t>r</w:t>
            </w:r>
            <w:r w:rsidR="00155DC0" w:rsidRPr="00CD1F58">
              <w:t>esponses show robust and appropriate research technique</w:t>
            </w:r>
            <w:r w:rsidRPr="00CD1F58">
              <w:t>s</w:t>
            </w:r>
            <w:r w:rsidR="00155DC0" w:rsidRPr="00CD1F58">
              <w:t xml:space="preserve"> and clear communication skills</w:t>
            </w:r>
          </w:p>
          <w:p w14:paraId="272C5377" w14:textId="77777777" w:rsidR="00155DC0" w:rsidRPr="00CD1F58" w:rsidRDefault="00155DC0" w:rsidP="00155DC0">
            <w:pPr>
              <w:pStyle w:val="Tablebullet"/>
            </w:pPr>
            <w:r w:rsidRPr="00CD1F58">
              <w:t xml:space="preserve">Researchers </w:t>
            </w:r>
            <w:proofErr w:type="gramStart"/>
            <w:r w:rsidRPr="00CD1F58">
              <w:t>are able to</w:t>
            </w:r>
            <w:proofErr w:type="gramEnd"/>
            <w:r w:rsidRPr="00CD1F58">
              <w:t xml:space="preserve"> successfully access </w:t>
            </w:r>
            <w:r w:rsidR="00895F97" w:rsidRPr="00CD1F58">
              <w:t xml:space="preserve">and use </w:t>
            </w:r>
            <w:r w:rsidRPr="00CD1F58">
              <w:t>digital</w:t>
            </w:r>
            <w:r w:rsidR="00D67014" w:rsidRPr="00CD1F58">
              <w:t xml:space="preserve"> and analogue </w:t>
            </w:r>
            <w:r w:rsidRPr="00CD1F58">
              <w:t>resources</w:t>
            </w:r>
          </w:p>
          <w:p w14:paraId="6A8AC968" w14:textId="77777777" w:rsidR="00155DC0" w:rsidRPr="00CD1F58" w:rsidRDefault="00895F97" w:rsidP="00155DC0">
            <w:pPr>
              <w:pStyle w:val="Tablebullet"/>
            </w:pPr>
            <w:r w:rsidRPr="00CD1F58">
              <w:t>Current turn-around-time d</w:t>
            </w:r>
            <w:r w:rsidR="00155DC0" w:rsidRPr="00CD1F58">
              <w:t>eadlines are met</w:t>
            </w:r>
          </w:p>
          <w:p w14:paraId="695D7811" w14:textId="77777777" w:rsidR="00155DC0" w:rsidRPr="00CD1F58" w:rsidRDefault="00155DC0" w:rsidP="00155DC0">
            <w:pPr>
              <w:pStyle w:val="Tablebullet"/>
            </w:pPr>
            <w:r w:rsidRPr="00CD1F58">
              <w:t>No significant backlog</w:t>
            </w:r>
            <w:r w:rsidR="00D6259A" w:rsidRPr="00CD1F58">
              <w:t>s</w:t>
            </w:r>
            <w:r w:rsidRPr="00CD1F58">
              <w:t xml:space="preserve"> </w:t>
            </w:r>
          </w:p>
          <w:p w14:paraId="41D4037C" w14:textId="77777777" w:rsidR="005B500E" w:rsidRPr="00CD1F58" w:rsidRDefault="00155DC0" w:rsidP="00B378E3">
            <w:pPr>
              <w:pStyle w:val="Tablebullet"/>
            </w:pPr>
            <w:r w:rsidRPr="00CD1F58">
              <w:t>Positive client feedback</w:t>
            </w:r>
          </w:p>
        </w:tc>
      </w:tr>
      <w:tr w:rsidR="003D175D" w:rsidRPr="003D175D" w14:paraId="08D801C7" w14:textId="77777777" w:rsidTr="003D175D">
        <w:trPr>
          <w:cantSplit/>
        </w:trPr>
        <w:tc>
          <w:tcPr>
            <w:tcW w:w="5812" w:type="dxa"/>
            <w:tcBorders>
              <w:top w:val="nil"/>
              <w:left w:val="nil"/>
              <w:bottom w:val="single" w:sz="6" w:space="0" w:color="1F546B" w:themeColor="text2"/>
              <w:right w:val="single" w:sz="6" w:space="0" w:color="1F546B" w:themeColor="text2"/>
            </w:tcBorders>
          </w:tcPr>
          <w:p w14:paraId="12E02409" w14:textId="77777777" w:rsidR="003D175D" w:rsidRPr="000F4F73" w:rsidRDefault="007827B7" w:rsidP="003D175D">
            <w:pPr>
              <w:pStyle w:val="Tablenormal0"/>
              <w:rPr>
                <w:b/>
                <w:bCs/>
              </w:rPr>
            </w:pPr>
            <w:r w:rsidRPr="000F4F73">
              <w:rPr>
                <w:b/>
                <w:bCs/>
              </w:rPr>
              <w:t>Arrangement and Description</w:t>
            </w:r>
          </w:p>
          <w:p w14:paraId="3BD330A1" w14:textId="77777777" w:rsidR="003D175D" w:rsidRPr="000F4F73" w:rsidRDefault="0072750F" w:rsidP="0072750F">
            <w:pPr>
              <w:pStyle w:val="Tablebullet"/>
            </w:pPr>
            <w:r w:rsidRPr="000F4F73">
              <w:t xml:space="preserve">Complete arrangement and description of unpublished collections </w:t>
            </w:r>
          </w:p>
          <w:p w14:paraId="2FFD75A5" w14:textId="77777777" w:rsidR="006665CD" w:rsidRPr="000F4F73" w:rsidRDefault="006665CD" w:rsidP="00B378E3">
            <w:pPr>
              <w:pStyle w:val="Tablebullet"/>
            </w:pPr>
            <w:r w:rsidRPr="000F4F73">
              <w:t xml:space="preserve">Create metadata that makes collection content meaningful and discoverable </w:t>
            </w:r>
          </w:p>
        </w:tc>
        <w:tc>
          <w:tcPr>
            <w:tcW w:w="3935" w:type="dxa"/>
            <w:tcBorders>
              <w:top w:val="nil"/>
              <w:left w:val="single" w:sz="6" w:space="0" w:color="1F546B" w:themeColor="text2"/>
              <w:bottom w:val="single" w:sz="6" w:space="0" w:color="1F546B" w:themeColor="text2"/>
              <w:right w:val="nil"/>
            </w:tcBorders>
          </w:tcPr>
          <w:p w14:paraId="2996F6A9" w14:textId="77777777" w:rsidR="00723C01" w:rsidRPr="000F4F73" w:rsidRDefault="00723C01" w:rsidP="00723C01">
            <w:pPr>
              <w:pStyle w:val="Tablebullet"/>
            </w:pPr>
            <w:r w:rsidRPr="000F4F73">
              <w:t>Descriptive and thesauri work is accurate consistent and thorough</w:t>
            </w:r>
          </w:p>
          <w:p w14:paraId="1F818252" w14:textId="77777777" w:rsidR="00723C01" w:rsidRPr="000F4F73" w:rsidRDefault="00723C01" w:rsidP="00723C01">
            <w:pPr>
              <w:pStyle w:val="Tablebullet"/>
            </w:pPr>
            <w:r w:rsidRPr="000F4F73">
              <w:t>Archival principles of provenance and original order are followed</w:t>
            </w:r>
          </w:p>
          <w:p w14:paraId="46713DDC" w14:textId="77777777" w:rsidR="00723C01" w:rsidRPr="000F4F73" w:rsidRDefault="00723C01" w:rsidP="00723C01">
            <w:pPr>
              <w:pStyle w:val="Tablebullet"/>
            </w:pPr>
            <w:r w:rsidRPr="000F4F73">
              <w:t>Material is housed appropriately</w:t>
            </w:r>
          </w:p>
          <w:p w14:paraId="015EF200" w14:textId="77777777" w:rsidR="00723C01" w:rsidRPr="000F4F73" w:rsidRDefault="00723C01" w:rsidP="00723C01">
            <w:pPr>
              <w:pStyle w:val="Tablebullet"/>
            </w:pPr>
            <w:r w:rsidRPr="000F4F73">
              <w:t xml:space="preserve">Records comply with content and encoding standards designated for use in ATL descriptions </w:t>
            </w:r>
          </w:p>
          <w:p w14:paraId="32768BA5" w14:textId="77777777" w:rsidR="0072750F" w:rsidRPr="000F4F73" w:rsidRDefault="00723C01" w:rsidP="00723C01">
            <w:pPr>
              <w:pStyle w:val="Tablebullet"/>
            </w:pPr>
            <w:r w:rsidRPr="000F4F73">
              <w:t>Descriptive records are completed within agreed timeframes</w:t>
            </w:r>
          </w:p>
        </w:tc>
      </w:tr>
      <w:tr w:rsidR="003D175D" w:rsidRPr="003D175D" w14:paraId="443E8F2B" w14:textId="77777777" w:rsidTr="003D175D">
        <w:trPr>
          <w:cantSplit/>
        </w:trPr>
        <w:tc>
          <w:tcPr>
            <w:tcW w:w="5812" w:type="dxa"/>
            <w:tcBorders>
              <w:top w:val="nil"/>
              <w:left w:val="nil"/>
              <w:bottom w:val="single" w:sz="6" w:space="0" w:color="1F546B" w:themeColor="text2"/>
              <w:right w:val="single" w:sz="6" w:space="0" w:color="1F546B" w:themeColor="text2"/>
            </w:tcBorders>
          </w:tcPr>
          <w:p w14:paraId="61C8DD2F" w14:textId="77777777" w:rsidR="005B500E" w:rsidRPr="005B500E" w:rsidRDefault="005B500E" w:rsidP="005B500E">
            <w:pPr>
              <w:pStyle w:val="Tablebullet"/>
              <w:numPr>
                <w:ilvl w:val="0"/>
                <w:numId w:val="0"/>
              </w:numPr>
              <w:ind w:left="357" w:hanging="357"/>
              <w:rPr>
                <w:b/>
              </w:rPr>
            </w:pPr>
            <w:r w:rsidRPr="005B500E">
              <w:rPr>
                <w:b/>
              </w:rPr>
              <w:t xml:space="preserve">Additional Tasks </w:t>
            </w:r>
          </w:p>
          <w:p w14:paraId="71DA4ADF" w14:textId="094C95EA" w:rsidR="005B500E" w:rsidRDefault="004360C0" w:rsidP="005B500E">
            <w:pPr>
              <w:pStyle w:val="Tablebullet"/>
            </w:pPr>
            <w:r w:rsidRPr="00AB482B">
              <w:t>Lead</w:t>
            </w:r>
            <w:r w:rsidR="005B500E">
              <w:t xml:space="preserve"> specific areas of operational or subject speciality as allocated </w:t>
            </w:r>
          </w:p>
          <w:p w14:paraId="5E7739A8" w14:textId="77777777" w:rsidR="005900D9" w:rsidRDefault="0072750F" w:rsidP="00D6259A">
            <w:pPr>
              <w:pStyle w:val="Tablebullet"/>
            </w:pPr>
            <w:r>
              <w:t>Assist with the development of online research guides and finding aids</w:t>
            </w:r>
          </w:p>
          <w:p w14:paraId="1EEBCA8F" w14:textId="77777777" w:rsidR="00B837B6" w:rsidRPr="00AB482B" w:rsidRDefault="005A7702" w:rsidP="00D6259A">
            <w:pPr>
              <w:pStyle w:val="Tablebullet"/>
            </w:pPr>
            <w:r w:rsidRPr="00AB482B">
              <w:t>Deliver t</w:t>
            </w:r>
            <w:r w:rsidR="00B837B6" w:rsidRPr="00AB482B">
              <w:t>ours and presentations to researchers and colleagues</w:t>
            </w:r>
          </w:p>
          <w:p w14:paraId="56C69256" w14:textId="77777777" w:rsidR="00F97F43" w:rsidRDefault="00F97F43" w:rsidP="00D6259A">
            <w:pPr>
              <w:pStyle w:val="Tablebullet"/>
            </w:pPr>
            <w:r>
              <w:t>Assist with collection development</w:t>
            </w:r>
          </w:p>
          <w:p w14:paraId="1AE8C489" w14:textId="2E9539BF" w:rsidR="00CF0EF5" w:rsidRPr="003D175D" w:rsidRDefault="00CF0EF5" w:rsidP="00D6259A">
            <w:pPr>
              <w:pStyle w:val="Tablebullet"/>
            </w:pPr>
            <w:r>
              <w:t xml:space="preserve">Ensure professional expertise remains current </w:t>
            </w:r>
          </w:p>
        </w:tc>
        <w:tc>
          <w:tcPr>
            <w:tcW w:w="3935" w:type="dxa"/>
            <w:tcBorders>
              <w:top w:val="nil"/>
              <w:left w:val="single" w:sz="6" w:space="0" w:color="1F546B" w:themeColor="text2"/>
              <w:bottom w:val="single" w:sz="6" w:space="0" w:color="1F546B" w:themeColor="text2"/>
              <w:right w:val="nil"/>
            </w:tcBorders>
          </w:tcPr>
          <w:p w14:paraId="6EC886B2" w14:textId="07386335" w:rsidR="005B500E" w:rsidRPr="000F4F73" w:rsidRDefault="005B500E" w:rsidP="005B500E">
            <w:pPr>
              <w:pStyle w:val="Tablebullet"/>
            </w:pPr>
            <w:r w:rsidRPr="000F4F73">
              <w:t>Broad and reasonably deep subject and collection knowledge to support client enquiry and high</w:t>
            </w:r>
            <w:r w:rsidR="00AB482B">
              <w:t>-</w:t>
            </w:r>
            <w:r w:rsidRPr="000F4F73">
              <w:t>quality arrangement and description</w:t>
            </w:r>
          </w:p>
          <w:p w14:paraId="1DE44D15" w14:textId="77777777" w:rsidR="00F97F43" w:rsidRPr="000F4F73" w:rsidRDefault="008E751B" w:rsidP="00F97F43">
            <w:pPr>
              <w:pStyle w:val="Tablebullet"/>
            </w:pPr>
            <w:r w:rsidRPr="000F4F73">
              <w:t>Researchers are supported to use our collections effectively</w:t>
            </w:r>
          </w:p>
          <w:p w14:paraId="5A6DE031" w14:textId="77777777" w:rsidR="00B837B6" w:rsidRPr="000F4F73" w:rsidRDefault="00F97F43" w:rsidP="00F97F43">
            <w:pPr>
              <w:pStyle w:val="Tablebullet"/>
            </w:pPr>
            <w:r w:rsidRPr="000F4F73">
              <w:t>Researchers can easily access relevant, up-to-date reference collections</w:t>
            </w:r>
          </w:p>
        </w:tc>
      </w:tr>
      <w:tr w:rsidR="003D175D" w:rsidRPr="003D175D" w14:paraId="7E511D3C" w14:textId="77777777" w:rsidTr="003D175D">
        <w:trPr>
          <w:cantSplit/>
        </w:trPr>
        <w:tc>
          <w:tcPr>
            <w:tcW w:w="5812" w:type="dxa"/>
            <w:tcBorders>
              <w:top w:val="nil"/>
              <w:left w:val="nil"/>
              <w:bottom w:val="single" w:sz="6" w:space="0" w:color="1F546B" w:themeColor="text2"/>
              <w:right w:val="single" w:sz="6" w:space="0" w:color="1F546B" w:themeColor="text2"/>
            </w:tcBorders>
          </w:tcPr>
          <w:p w14:paraId="2F073685" w14:textId="77777777" w:rsidR="003D175D" w:rsidRPr="003D175D" w:rsidRDefault="003D175D" w:rsidP="003D175D">
            <w:pPr>
              <w:pStyle w:val="Tablenormal0"/>
              <w:rPr>
                <w:b/>
                <w:bCs/>
              </w:rPr>
            </w:pPr>
            <w:r>
              <w:rPr>
                <w:b/>
                <w:bCs/>
              </w:rPr>
              <w:lastRenderedPageBreak/>
              <w:t>Health and safety (for self)</w:t>
            </w:r>
          </w:p>
          <w:p w14:paraId="42C3543F" w14:textId="77777777" w:rsidR="003D175D" w:rsidRDefault="001A069E" w:rsidP="003D175D">
            <w:pPr>
              <w:pStyle w:val="Tablebullet"/>
            </w:pPr>
            <w:r>
              <w:t>Work safely and take responsibility for keeping self and colleagues free from harm</w:t>
            </w:r>
          </w:p>
          <w:p w14:paraId="5A83DD1C" w14:textId="77777777" w:rsidR="001A069E" w:rsidRDefault="001A069E" w:rsidP="003D175D">
            <w:pPr>
              <w:pStyle w:val="Tablebullet"/>
            </w:pPr>
            <w:r>
              <w:t>Report all incidents and hazards promptly</w:t>
            </w:r>
          </w:p>
          <w:p w14:paraId="0FC66E6A" w14:textId="77777777" w:rsidR="001A069E" w:rsidRDefault="001A069E" w:rsidP="003D175D">
            <w:pPr>
              <w:pStyle w:val="Tablebullet"/>
            </w:pPr>
            <w:r>
              <w:t>Know what to do in the event of an emergency</w:t>
            </w:r>
          </w:p>
          <w:p w14:paraId="4A8699EB" w14:textId="77777777" w:rsidR="001A069E" w:rsidRPr="003D175D" w:rsidRDefault="001A069E" w:rsidP="003D175D">
            <w:pPr>
              <w:pStyle w:val="Tablebullet"/>
            </w:pPr>
            <w:r>
              <w:t>Cooperate in implementing return to work plans</w:t>
            </w:r>
          </w:p>
        </w:tc>
        <w:tc>
          <w:tcPr>
            <w:tcW w:w="3935" w:type="dxa"/>
            <w:tcBorders>
              <w:top w:val="nil"/>
              <w:left w:val="single" w:sz="6" w:space="0" w:color="1F546B" w:themeColor="text2"/>
              <w:bottom w:val="single" w:sz="6" w:space="0" w:color="1F546B" w:themeColor="text2"/>
              <w:right w:val="nil"/>
            </w:tcBorders>
          </w:tcPr>
          <w:p w14:paraId="28CBBC2A" w14:textId="77777777" w:rsidR="009161CB" w:rsidRDefault="009161CB" w:rsidP="003D175D">
            <w:pPr>
              <w:pStyle w:val="Tablebullet"/>
            </w:pPr>
            <w:r w:rsidRPr="009161CB">
              <w:t>A safe and health</w:t>
            </w:r>
            <w:r>
              <w:t>y</w:t>
            </w:r>
            <w:r w:rsidRPr="009161CB">
              <w:t xml:space="preserve"> workplace for all people using our sites as a place of work.</w:t>
            </w:r>
          </w:p>
          <w:p w14:paraId="2AFE7166" w14:textId="77777777" w:rsidR="009161CB" w:rsidRPr="003D175D" w:rsidRDefault="003D175D" w:rsidP="009161CB">
            <w:pPr>
              <w:pStyle w:val="Tablebullet"/>
            </w:pPr>
            <w:r w:rsidRPr="006B2693">
              <w:t>Health and</w:t>
            </w:r>
            <w:r>
              <w:t xml:space="preserve"> safety guidelines are followed</w:t>
            </w:r>
          </w:p>
        </w:tc>
      </w:tr>
    </w:tbl>
    <w:p w14:paraId="08DB7612" w14:textId="77777777"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14:paraId="56C9A208" w14:textId="77777777" w:rsidTr="001D30D4">
        <w:trPr>
          <w:trHeight w:val="737"/>
          <w:tblHeader/>
        </w:trPr>
        <w:tc>
          <w:tcPr>
            <w:tcW w:w="5842" w:type="dxa"/>
            <w:gridSpan w:val="2"/>
            <w:tcBorders>
              <w:bottom w:val="single" w:sz="6" w:space="0" w:color="1F546B" w:themeColor="text2"/>
            </w:tcBorders>
          </w:tcPr>
          <w:p w14:paraId="664D39F9" w14:textId="77777777" w:rsidR="006B2693" w:rsidRPr="00267EDC" w:rsidRDefault="006B2693" w:rsidP="00267EDC"/>
        </w:tc>
        <w:tc>
          <w:tcPr>
            <w:tcW w:w="651" w:type="dxa"/>
            <w:vMerge w:val="restart"/>
            <w:tcBorders>
              <w:bottom w:val="single" w:sz="6" w:space="0" w:color="1F546B" w:themeColor="text2"/>
            </w:tcBorders>
            <w:textDirection w:val="btLr"/>
            <w:vAlign w:val="center"/>
          </w:tcPr>
          <w:p w14:paraId="3BB5F075" w14:textId="77777777"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14:paraId="4DD67AAA" w14:textId="77777777"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382CB482" w14:textId="77777777"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2615B685" w14:textId="77777777"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14:paraId="2A07D73F" w14:textId="77777777" w:rsidR="006B2693" w:rsidRPr="00267EDC" w:rsidRDefault="006B2693" w:rsidP="00267EDC">
            <w:pPr>
              <w:pStyle w:val="Tableverticaltext"/>
            </w:pPr>
            <w:r w:rsidRPr="00267EDC">
              <w:t>Manage/</w:t>
            </w:r>
          </w:p>
          <w:p w14:paraId="09D957F1" w14:textId="77777777"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14:paraId="720F7A09" w14:textId="77777777" w:rsidR="006B2693" w:rsidRPr="00267EDC" w:rsidRDefault="006B2693" w:rsidP="00267EDC">
            <w:pPr>
              <w:pStyle w:val="Tableverticaltext"/>
            </w:pPr>
            <w:r w:rsidRPr="00267EDC">
              <w:t>Deliver to</w:t>
            </w:r>
          </w:p>
        </w:tc>
      </w:tr>
      <w:tr w:rsidR="006B2693" w:rsidRPr="00267EDC" w14:paraId="3CF545EB" w14:textId="77777777" w:rsidTr="005E4205">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1059E301" w14:textId="77777777"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63664586" w14:textId="77777777" w:rsidR="006B2693" w:rsidRPr="00267EDC" w:rsidRDefault="006B2693" w:rsidP="00267EDC"/>
        </w:tc>
        <w:tc>
          <w:tcPr>
            <w:tcW w:w="652" w:type="dxa"/>
            <w:vMerge/>
            <w:tcBorders>
              <w:bottom w:val="single" w:sz="6" w:space="0" w:color="1F546B" w:themeColor="text2"/>
            </w:tcBorders>
            <w:textDirection w:val="btLr"/>
          </w:tcPr>
          <w:p w14:paraId="65860D4E" w14:textId="77777777" w:rsidR="006B2693" w:rsidRPr="00267EDC" w:rsidRDefault="006B2693" w:rsidP="00267EDC"/>
        </w:tc>
        <w:tc>
          <w:tcPr>
            <w:tcW w:w="652" w:type="dxa"/>
            <w:vMerge/>
            <w:tcBorders>
              <w:bottom w:val="single" w:sz="6" w:space="0" w:color="1F546B" w:themeColor="text2"/>
            </w:tcBorders>
            <w:textDirection w:val="btLr"/>
          </w:tcPr>
          <w:p w14:paraId="62B94B31" w14:textId="77777777" w:rsidR="006B2693" w:rsidRPr="00267EDC" w:rsidRDefault="006B2693" w:rsidP="00267EDC"/>
        </w:tc>
        <w:tc>
          <w:tcPr>
            <w:tcW w:w="651" w:type="dxa"/>
            <w:vMerge/>
            <w:tcBorders>
              <w:bottom w:val="single" w:sz="6" w:space="0" w:color="1F546B" w:themeColor="text2"/>
            </w:tcBorders>
            <w:textDirection w:val="btLr"/>
          </w:tcPr>
          <w:p w14:paraId="7986792E" w14:textId="77777777" w:rsidR="006B2693" w:rsidRPr="00267EDC" w:rsidRDefault="006B2693" w:rsidP="00267EDC"/>
        </w:tc>
        <w:tc>
          <w:tcPr>
            <w:tcW w:w="652" w:type="dxa"/>
            <w:vMerge/>
            <w:tcBorders>
              <w:bottom w:val="single" w:sz="6" w:space="0" w:color="1F546B" w:themeColor="text2"/>
            </w:tcBorders>
            <w:textDirection w:val="btLr"/>
          </w:tcPr>
          <w:p w14:paraId="36E3C682" w14:textId="77777777"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14:paraId="5B43392C" w14:textId="77777777" w:rsidR="006B2693" w:rsidRPr="00267EDC" w:rsidRDefault="006B2693" w:rsidP="00267EDC"/>
        </w:tc>
      </w:tr>
      <w:tr w:rsidR="00FC37F8" w:rsidRPr="001D30D4" w14:paraId="66810AFF" w14:textId="77777777" w:rsidTr="003C5F0A">
        <w:trPr>
          <w:trHeight w:val="345"/>
        </w:trPr>
        <w:tc>
          <w:tcPr>
            <w:tcW w:w="1134" w:type="dxa"/>
            <w:vMerge w:val="restart"/>
            <w:tcBorders>
              <w:top w:val="single" w:sz="6" w:space="0" w:color="1F546B" w:themeColor="text2"/>
              <w:right w:val="single" w:sz="6" w:space="0" w:color="1F546B" w:themeColor="text2"/>
            </w:tcBorders>
            <w:vAlign w:val="center"/>
          </w:tcPr>
          <w:p w14:paraId="288828A8" w14:textId="77777777" w:rsidR="00FC37F8" w:rsidRPr="001D30D4" w:rsidRDefault="00FC37F8" w:rsidP="001D30D4">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A8C782C" w14:textId="5B558511" w:rsidR="00FC37F8" w:rsidRPr="001D30D4" w:rsidRDefault="00FC37F8" w:rsidP="003D175D">
            <w:pPr>
              <w:pStyle w:val="Tablenormalcondensed"/>
            </w:pPr>
            <w:r>
              <w:t xml:space="preserve">Research Enquiries Team, </w:t>
            </w:r>
            <w:r w:rsidR="00576310">
              <w:t xml:space="preserve">Arrangement &amp; Description team, </w:t>
            </w:r>
            <w:bookmarkStart w:id="0" w:name="_GoBack"/>
            <w:bookmarkEnd w:id="0"/>
            <w:r>
              <w:t>Outreach Services Team, Imaging Services team, Curators</w:t>
            </w:r>
            <w:r w:rsidR="004E44EF">
              <w:t xml:space="preserve">, </w:t>
            </w:r>
            <w:r w:rsidR="004E44EF" w:rsidRPr="00AB482B">
              <w:t>Collection Care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9EAD9DE" w14:textId="77777777" w:rsidR="00FC37F8" w:rsidRPr="007C1F5E" w:rsidRDefault="00FC37F8" w:rsidP="001D30D4">
            <w:pPr>
              <w:pStyle w:val="Tablenormalcondensed"/>
            </w:pPr>
            <w:r w:rsidRPr="007C1F5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1B50818" w14:textId="77777777" w:rsidR="00FC37F8" w:rsidRPr="007C1F5E" w:rsidRDefault="00FC37F8" w:rsidP="001D30D4">
            <w:pPr>
              <w:pStyle w:val="Tablenormalcondensed"/>
            </w:pPr>
            <w:r w:rsidRPr="007C1F5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045085" w14:textId="77777777" w:rsidR="00FC37F8" w:rsidRPr="007C1F5E" w:rsidRDefault="00FC37F8" w:rsidP="001D30D4">
            <w:pPr>
              <w:pStyle w:val="Tablenormalcondensed"/>
            </w:pPr>
            <w:r w:rsidRPr="007C1F5E">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591C2F4" w14:textId="77777777" w:rsidR="00FC37F8" w:rsidRPr="007C1F5E" w:rsidRDefault="00FC37F8" w:rsidP="001D30D4">
            <w:pPr>
              <w:pStyle w:val="Tablenormalcondensed"/>
            </w:pPr>
            <w:r w:rsidRPr="007C1F5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F0CCCD" w14:textId="77777777" w:rsidR="00FC37F8" w:rsidRPr="003D175D" w:rsidRDefault="00FC37F8" w:rsidP="001D30D4">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7EDBD39" w14:textId="77777777" w:rsidR="00FC37F8" w:rsidRPr="003D175D" w:rsidRDefault="00FC37F8" w:rsidP="001D30D4">
            <w:pPr>
              <w:pStyle w:val="Tablenormalcondensed"/>
              <w:rPr>
                <w:highlight w:val="yellow"/>
              </w:rPr>
            </w:pPr>
          </w:p>
        </w:tc>
      </w:tr>
      <w:tr w:rsidR="00FC37F8" w:rsidRPr="001D30D4" w14:paraId="0DA2A8F8" w14:textId="77777777" w:rsidTr="003C5F0A">
        <w:trPr>
          <w:trHeight w:val="345"/>
        </w:trPr>
        <w:tc>
          <w:tcPr>
            <w:tcW w:w="1134" w:type="dxa"/>
            <w:vMerge/>
            <w:tcBorders>
              <w:right w:val="single" w:sz="6" w:space="0" w:color="1F546B" w:themeColor="text2"/>
            </w:tcBorders>
            <w:vAlign w:val="center"/>
          </w:tcPr>
          <w:p w14:paraId="7F8FC9ED" w14:textId="77777777" w:rsidR="00FC37F8" w:rsidRPr="001D30D4" w:rsidRDefault="00FC37F8"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4A427B83" w14:textId="77777777" w:rsidR="00FC37F8" w:rsidRPr="001D30D4" w:rsidRDefault="00FC37F8" w:rsidP="001D30D4">
            <w:pPr>
              <w:pStyle w:val="Tablenormalcondensed"/>
              <w:rPr>
                <w:highlight w:val="yellow"/>
              </w:rPr>
            </w:pPr>
            <w:r>
              <w:t>Public Programmes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3893883" w14:textId="77777777" w:rsidR="00FC37F8" w:rsidRPr="003D175D" w:rsidRDefault="00FC37F8" w:rsidP="001D30D4">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249F751" w14:textId="77777777" w:rsidR="00FC37F8" w:rsidRPr="007C1F5E" w:rsidRDefault="00FC37F8" w:rsidP="001D30D4">
            <w:pPr>
              <w:pStyle w:val="Tablenormalcondensed"/>
            </w:pPr>
            <w:r w:rsidRPr="007C1F5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AA1D6D7" w14:textId="77777777" w:rsidR="00FC37F8" w:rsidRPr="007C1F5E" w:rsidRDefault="00FC37F8" w:rsidP="001D30D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DBBA5AF" w14:textId="77777777" w:rsidR="00FC37F8" w:rsidRPr="007C1F5E" w:rsidRDefault="00FC37F8" w:rsidP="001D30D4">
            <w:pPr>
              <w:pStyle w:val="Tablenormalcondensed"/>
            </w:pPr>
            <w:r w:rsidRPr="007C1F5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2D01187" w14:textId="77777777" w:rsidR="00FC37F8" w:rsidRPr="003D175D" w:rsidRDefault="00FC37F8" w:rsidP="001D30D4">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33D318B" w14:textId="77777777" w:rsidR="00FC37F8" w:rsidRPr="003D175D" w:rsidRDefault="00FC37F8" w:rsidP="001D30D4">
            <w:pPr>
              <w:pStyle w:val="Tablenormalcondensed"/>
              <w:rPr>
                <w:highlight w:val="yellow"/>
              </w:rPr>
            </w:pPr>
          </w:p>
        </w:tc>
      </w:tr>
      <w:tr w:rsidR="00FC37F8" w:rsidRPr="001D30D4" w14:paraId="10C5EB11" w14:textId="77777777" w:rsidTr="003C5F0A">
        <w:trPr>
          <w:trHeight w:val="345"/>
        </w:trPr>
        <w:tc>
          <w:tcPr>
            <w:tcW w:w="1134" w:type="dxa"/>
            <w:vMerge/>
            <w:tcBorders>
              <w:bottom w:val="single" w:sz="6" w:space="0" w:color="1F546B" w:themeColor="text2"/>
              <w:right w:val="single" w:sz="6" w:space="0" w:color="1F546B" w:themeColor="text2"/>
            </w:tcBorders>
            <w:vAlign w:val="center"/>
          </w:tcPr>
          <w:p w14:paraId="3438F528" w14:textId="77777777" w:rsidR="00FC37F8" w:rsidRPr="001D30D4" w:rsidRDefault="00FC37F8"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821C8D1" w14:textId="1C86CBD7" w:rsidR="00FC37F8" w:rsidRPr="00FC37F8" w:rsidRDefault="00AB482B" w:rsidP="001D30D4">
            <w:pPr>
              <w:pStyle w:val="Tablenormalcondensed"/>
              <w:rPr>
                <w:highlight w:val="yellow"/>
              </w:rPr>
            </w:pPr>
            <w:r>
              <w:t xml:space="preserve">National Library </w:t>
            </w:r>
            <w:r w:rsidR="00FC37F8" w:rsidRPr="00AB482B">
              <w:t>Content Services</w:t>
            </w:r>
            <w:r w:rsidR="004E44EF" w:rsidRPr="00AB482B">
              <w:t xml:space="preserve">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3219FC5" w14:textId="77777777" w:rsidR="00FC37F8" w:rsidRPr="003D175D" w:rsidRDefault="00FC37F8" w:rsidP="001D30D4">
            <w:pPr>
              <w:pStyle w:val="Tablenormalcondensed"/>
              <w:rPr>
                <w:highlight w:val="yellow"/>
              </w:rPr>
            </w:pPr>
            <w:r w:rsidRPr="007C1F5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BFAF1A1" w14:textId="77777777" w:rsidR="00FC37F8" w:rsidRPr="007C1F5E" w:rsidRDefault="00FC37F8" w:rsidP="001D30D4">
            <w:pPr>
              <w:pStyle w:val="Tablenormalcondensed"/>
            </w:pPr>
            <w:r w:rsidRPr="007C1F5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51475A5" w14:textId="77777777" w:rsidR="00FC37F8" w:rsidRPr="007C1F5E" w:rsidRDefault="00FC37F8" w:rsidP="001D30D4">
            <w:pPr>
              <w:pStyle w:val="Tablenormalcondensed"/>
            </w:pPr>
            <w:r w:rsidRPr="007C1F5E">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CF211B5" w14:textId="77777777" w:rsidR="00FC37F8" w:rsidRPr="007C1F5E" w:rsidRDefault="00FC37F8" w:rsidP="001D30D4">
            <w:pPr>
              <w:pStyle w:val="Tablenormalcondensed"/>
            </w:pPr>
            <w:r w:rsidRPr="007C1F5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D9E33A2" w14:textId="77777777" w:rsidR="00FC37F8" w:rsidRPr="003D175D" w:rsidRDefault="00FC37F8" w:rsidP="001D30D4">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92F9076" w14:textId="77777777" w:rsidR="00FC37F8" w:rsidRPr="003D175D" w:rsidRDefault="00FC37F8" w:rsidP="001D30D4">
            <w:pPr>
              <w:pStyle w:val="Tablenormalcondensed"/>
              <w:rPr>
                <w:highlight w:val="yellow"/>
              </w:rPr>
            </w:pPr>
          </w:p>
        </w:tc>
      </w:tr>
      <w:tr w:rsidR="00B54416" w:rsidRPr="001D30D4" w14:paraId="4D464D88" w14:textId="77777777" w:rsidTr="005E4205">
        <w:trPr>
          <w:trHeight w:val="233"/>
        </w:trPr>
        <w:tc>
          <w:tcPr>
            <w:tcW w:w="1134" w:type="dxa"/>
            <w:vMerge w:val="restart"/>
            <w:tcBorders>
              <w:top w:val="single" w:sz="6" w:space="0" w:color="1F546B" w:themeColor="text2"/>
              <w:bottom w:val="single" w:sz="6" w:space="0" w:color="1F546B" w:themeColor="text2"/>
              <w:right w:val="single" w:sz="6" w:space="0" w:color="1F546B" w:themeColor="text2"/>
            </w:tcBorders>
            <w:vAlign w:val="center"/>
          </w:tcPr>
          <w:p w14:paraId="13D7A9BE" w14:textId="77777777" w:rsidR="00B54416" w:rsidRPr="001D30D4" w:rsidRDefault="00B54416" w:rsidP="001D30D4">
            <w:pPr>
              <w:pStyle w:val="Tablenormalcondensed"/>
            </w:pPr>
            <w:r w:rsidRPr="001D30D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397AB33" w14:textId="77777777" w:rsidR="00B54416" w:rsidRPr="001D30D4" w:rsidRDefault="00A50A5E" w:rsidP="007070C3">
            <w:pPr>
              <w:pStyle w:val="Tablenormalcondensed"/>
            </w:pPr>
            <w:r>
              <w:t xml:space="preserve">Researchers </w:t>
            </w:r>
            <w:r w:rsidR="007070C3">
              <w:t>representing</w:t>
            </w:r>
            <w:r w:rsidR="007C1F5E">
              <w:t xml:space="preserve"> all communities or subject interests, client interest groups, academics and professional historians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8FA0CF" w14:textId="77777777" w:rsidR="00B54416" w:rsidRPr="007070C3" w:rsidRDefault="00B54416" w:rsidP="001D30D4">
            <w:pPr>
              <w:pStyle w:val="Tablenormalcondensed"/>
            </w:pPr>
            <w:r w:rsidRPr="007070C3">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192ADF" w14:textId="77777777" w:rsidR="00B54416" w:rsidRPr="007070C3" w:rsidRDefault="00B54416" w:rsidP="001D30D4">
            <w:pPr>
              <w:pStyle w:val="Tablenormalcondensed"/>
            </w:pPr>
            <w:r w:rsidRPr="007070C3">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98E88A6" w14:textId="77777777" w:rsidR="00B54416" w:rsidRPr="007070C3" w:rsidRDefault="00B54416" w:rsidP="001D30D4">
            <w:pPr>
              <w:pStyle w:val="Tablenormalcondensed"/>
            </w:pPr>
            <w:r w:rsidRPr="007070C3">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C1D27C4" w14:textId="77777777" w:rsidR="00B54416" w:rsidRPr="007070C3" w:rsidRDefault="00B54416" w:rsidP="001D30D4">
            <w:pPr>
              <w:pStyle w:val="Tablenormalcondensed"/>
            </w:pPr>
            <w:r w:rsidRPr="007070C3">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8B4D69" w14:textId="77777777" w:rsidR="00B54416" w:rsidRPr="003D175D" w:rsidRDefault="00B54416" w:rsidP="001D30D4">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C25B2B9" w14:textId="77777777" w:rsidR="00B54416" w:rsidRPr="003D175D" w:rsidRDefault="00B54416" w:rsidP="001D30D4">
            <w:pPr>
              <w:pStyle w:val="Tablenormalcondensed"/>
              <w:rPr>
                <w:highlight w:val="yellow"/>
              </w:rPr>
            </w:pPr>
            <w:r w:rsidRPr="007070C3">
              <w:sym w:font="Wingdings" w:char="F0FC"/>
            </w:r>
          </w:p>
        </w:tc>
      </w:tr>
      <w:tr w:rsidR="00B54416" w:rsidRPr="001D30D4" w14:paraId="1EBA3221" w14:textId="77777777" w:rsidTr="005E4205">
        <w:trPr>
          <w:trHeight w:val="233"/>
        </w:trPr>
        <w:tc>
          <w:tcPr>
            <w:tcW w:w="1134" w:type="dxa"/>
            <w:vMerge/>
            <w:tcBorders>
              <w:top w:val="single" w:sz="6" w:space="0" w:color="1F546B" w:themeColor="text2"/>
              <w:bottom w:val="single" w:sz="6" w:space="0" w:color="1F546B" w:themeColor="text2"/>
              <w:right w:val="single" w:sz="6" w:space="0" w:color="1F546B" w:themeColor="text2"/>
            </w:tcBorders>
            <w:vAlign w:val="center"/>
          </w:tcPr>
          <w:p w14:paraId="1D192AA8" w14:textId="77777777" w:rsidR="00B54416" w:rsidRPr="001D30D4" w:rsidRDefault="00B54416"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986371C" w14:textId="77777777" w:rsidR="00B54416" w:rsidRPr="008E751B" w:rsidRDefault="008E751B" w:rsidP="001D30D4">
            <w:pPr>
              <w:pStyle w:val="Tablenormalcondensed"/>
            </w:pPr>
            <w:r w:rsidRPr="008E751B">
              <w:t>Colleagues in other institutions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CFD2355" w14:textId="77777777" w:rsidR="00B54416" w:rsidRPr="008E751B" w:rsidRDefault="00B54416"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6415EE0" w14:textId="77777777" w:rsidR="00B54416" w:rsidRPr="008E751B" w:rsidRDefault="00B54416" w:rsidP="001D30D4">
            <w:pPr>
              <w:pStyle w:val="Tablenormalcondensed"/>
            </w:pPr>
            <w:r w:rsidRPr="008E751B">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4E19FE6" w14:textId="77777777" w:rsidR="00B54416" w:rsidRPr="008E751B" w:rsidRDefault="00B54416" w:rsidP="001D30D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C02362" w14:textId="77777777" w:rsidR="00B54416" w:rsidRPr="008E751B" w:rsidRDefault="00B54416" w:rsidP="001D30D4">
            <w:pPr>
              <w:pStyle w:val="Tablenormalcondensed"/>
            </w:pPr>
            <w:r w:rsidRPr="008E751B">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C1A1E7F" w14:textId="77777777" w:rsidR="00B54416" w:rsidRPr="008E751B" w:rsidRDefault="00B54416"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110DB4F" w14:textId="77777777" w:rsidR="00B54416" w:rsidRPr="008E751B" w:rsidRDefault="00B54416" w:rsidP="001D30D4">
            <w:pPr>
              <w:pStyle w:val="Tablenormalcondensed"/>
            </w:pPr>
          </w:p>
        </w:tc>
      </w:tr>
    </w:tbl>
    <w:p w14:paraId="6821D9F4" w14:textId="77777777" w:rsidR="008023C3" w:rsidRDefault="008023C3" w:rsidP="00883B1E">
      <w:pPr>
        <w:pStyle w:val="Tinyline"/>
      </w:pPr>
    </w:p>
    <w:p w14:paraId="75B347CB"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767"/>
        <w:gridCol w:w="4748"/>
      </w:tblGrid>
      <w:tr w:rsidR="00075526" w:rsidRPr="008023C3" w14:paraId="29BC1D63" w14:textId="77777777" w:rsidTr="007827B7">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79D634FF" w14:textId="77777777" w:rsidR="00075526" w:rsidRPr="008023C3" w:rsidRDefault="00075526" w:rsidP="00075526">
            <w:pPr>
              <w:pStyle w:val="Tableheading"/>
            </w:pPr>
            <w:r>
              <w:t xml:space="preserve">Your delegations </w:t>
            </w:r>
          </w:p>
        </w:tc>
      </w:tr>
      <w:tr w:rsidR="00075526" w:rsidRPr="008023C3" w14:paraId="2D6FCA96" w14:textId="77777777" w:rsidTr="007827B7">
        <w:tc>
          <w:tcPr>
            <w:tcW w:w="4873" w:type="dxa"/>
            <w:tcBorders>
              <w:top w:val="nil"/>
              <w:left w:val="nil"/>
              <w:bottom w:val="single" w:sz="6" w:space="0" w:color="1F546B" w:themeColor="text2"/>
              <w:right w:val="single" w:sz="6" w:space="0" w:color="1F546B" w:themeColor="text2"/>
            </w:tcBorders>
          </w:tcPr>
          <w:p w14:paraId="30C03775" w14:textId="77777777" w:rsidR="00075526" w:rsidRPr="00356EDF" w:rsidRDefault="00075526" w:rsidP="007827B7">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14:paraId="591C4AD6" w14:textId="77777777" w:rsidR="00075526" w:rsidRPr="001D30D4" w:rsidRDefault="00C95773" w:rsidP="00075526">
            <w:pPr>
              <w:pStyle w:val="Tablenormal0"/>
            </w:pPr>
            <w:r>
              <w:t>none</w:t>
            </w:r>
          </w:p>
        </w:tc>
      </w:tr>
      <w:tr w:rsidR="00075526" w:rsidRPr="008023C3" w14:paraId="7BDB1F65" w14:textId="77777777" w:rsidTr="007827B7">
        <w:tc>
          <w:tcPr>
            <w:tcW w:w="4873" w:type="dxa"/>
            <w:tcBorders>
              <w:top w:val="single" w:sz="6" w:space="0" w:color="1F546B" w:themeColor="text2"/>
              <w:left w:val="nil"/>
              <w:bottom w:val="single" w:sz="6" w:space="0" w:color="1F546B" w:themeColor="text2"/>
              <w:right w:val="single" w:sz="6" w:space="0" w:color="1F546B" w:themeColor="text2"/>
            </w:tcBorders>
          </w:tcPr>
          <w:p w14:paraId="34BBA3FA" w14:textId="77777777" w:rsidR="00075526" w:rsidRDefault="00075526" w:rsidP="007827B7">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1D8E6C3D" w14:textId="77777777" w:rsidR="00075526" w:rsidRPr="001D30D4" w:rsidRDefault="00C95773" w:rsidP="007827B7">
            <w:pPr>
              <w:pStyle w:val="Tablenormal0"/>
            </w:pPr>
            <w:r>
              <w:t>none</w:t>
            </w:r>
          </w:p>
        </w:tc>
      </w:tr>
    </w:tbl>
    <w:p w14:paraId="20507196" w14:textId="77777777" w:rsidR="00883B1E" w:rsidRDefault="00883B1E" w:rsidP="00883B1E">
      <w:pPr>
        <w:pStyle w:val="Tinyline"/>
      </w:pPr>
    </w:p>
    <w:p w14:paraId="49223FC3"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755"/>
        <w:gridCol w:w="4760"/>
      </w:tblGrid>
      <w:tr w:rsidR="008023C3" w:rsidRPr="008023C3" w14:paraId="0F662F6D" w14:textId="77777777"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41F5057D" w14:textId="77777777"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6FE06A98" w14:textId="77777777" w:rsidR="008023C3" w:rsidRPr="008023C3" w:rsidRDefault="008023C3" w:rsidP="00B90EE6">
            <w:pPr>
              <w:pStyle w:val="Tableheading"/>
            </w:pPr>
            <w:r w:rsidRPr="008023C3">
              <w:t>What you will bring specifically</w:t>
            </w:r>
          </w:p>
        </w:tc>
      </w:tr>
      <w:tr w:rsidR="008023C3" w:rsidRPr="008023C3" w14:paraId="22CC76AE" w14:textId="77777777" w:rsidTr="00A25FF9">
        <w:tc>
          <w:tcPr>
            <w:tcW w:w="4873" w:type="dxa"/>
            <w:tcBorders>
              <w:top w:val="nil"/>
              <w:left w:val="nil"/>
              <w:bottom w:val="nil"/>
              <w:right w:val="single" w:sz="6" w:space="0" w:color="1F546B" w:themeColor="text2"/>
            </w:tcBorders>
          </w:tcPr>
          <w:p w14:paraId="5E3612C8" w14:textId="77777777"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3" w:history="1">
              <w:r w:rsidRPr="009C0471">
                <w:rPr>
                  <w:rStyle w:val="Hyperlink"/>
                </w:rPr>
                <w:t>Valued Contributor</w:t>
              </w:r>
            </w:hyperlink>
            <w:r w:rsidR="001D30D4">
              <w:t>.</w:t>
            </w:r>
            <w:r w:rsidRPr="008023C3">
              <w:br/>
            </w:r>
            <w:r w:rsidRPr="008023C3">
              <w:br/>
            </w:r>
            <w:r w:rsidRPr="009E40D1">
              <w:rPr>
                <w:b/>
                <w:bCs/>
              </w:rPr>
              <w:t>Keys to Success:</w:t>
            </w:r>
          </w:p>
          <w:p w14:paraId="5B7B669C" w14:textId="77777777" w:rsidR="008023C3" w:rsidRPr="008023C3" w:rsidRDefault="008023C3" w:rsidP="008023C3">
            <w:pPr>
              <w:pStyle w:val="Tablebullet"/>
            </w:pPr>
            <w:r w:rsidRPr="008023C3">
              <w:t>Customer Focus</w:t>
            </w:r>
          </w:p>
          <w:p w14:paraId="281C545A" w14:textId="77777777" w:rsidR="008023C3" w:rsidRPr="008023C3" w:rsidRDefault="008023C3" w:rsidP="008023C3">
            <w:pPr>
              <w:pStyle w:val="Tablebullet"/>
            </w:pPr>
            <w:r w:rsidRPr="008023C3">
              <w:t>Continuous improvement</w:t>
            </w:r>
          </w:p>
          <w:p w14:paraId="61DCC6D4" w14:textId="77777777" w:rsidR="008023C3" w:rsidRPr="008023C3" w:rsidRDefault="008023C3" w:rsidP="008023C3">
            <w:pPr>
              <w:pStyle w:val="Tablebullet"/>
            </w:pPr>
            <w:r w:rsidRPr="008023C3">
              <w:t>Teamwork and peer relationships</w:t>
            </w:r>
          </w:p>
          <w:p w14:paraId="6DC48D74" w14:textId="77777777" w:rsidR="008023C3" w:rsidRPr="008023C3" w:rsidRDefault="008023C3" w:rsidP="008023C3">
            <w:pPr>
              <w:pStyle w:val="Tablebullet"/>
            </w:pPr>
            <w:r w:rsidRPr="008023C3">
              <w:t>Action oriented</w:t>
            </w:r>
          </w:p>
          <w:p w14:paraId="28737E33" w14:textId="77777777" w:rsidR="008023C3" w:rsidRPr="008023C3" w:rsidRDefault="005848D3" w:rsidP="008023C3">
            <w:pPr>
              <w:pStyle w:val="Tablebullet"/>
            </w:pPr>
            <w:r w:rsidRPr="008023C3">
              <w:t>Self-development</w:t>
            </w:r>
            <w:r w:rsidR="008023C3" w:rsidRPr="008023C3">
              <w:t xml:space="preserve"> and learning</w:t>
            </w:r>
          </w:p>
          <w:p w14:paraId="71BD2318" w14:textId="77777777" w:rsidR="008023C3" w:rsidRPr="008023C3" w:rsidRDefault="008023C3" w:rsidP="008023C3">
            <w:pPr>
              <w:pStyle w:val="Tablebullet"/>
            </w:pPr>
            <w:r w:rsidRPr="008023C3">
              <w:t>Functional and technical skills</w:t>
            </w:r>
          </w:p>
        </w:tc>
        <w:tc>
          <w:tcPr>
            <w:tcW w:w="4874" w:type="dxa"/>
            <w:tcBorders>
              <w:top w:val="nil"/>
              <w:left w:val="single" w:sz="6" w:space="0" w:color="1F546B" w:themeColor="text2"/>
              <w:bottom w:val="nil"/>
              <w:right w:val="nil"/>
            </w:tcBorders>
          </w:tcPr>
          <w:p w14:paraId="7FF8553D" w14:textId="77777777" w:rsidR="008023C3" w:rsidRPr="001D30D4" w:rsidRDefault="008023C3" w:rsidP="001D30D4">
            <w:pPr>
              <w:pStyle w:val="Tablenormal0"/>
              <w:rPr>
                <w:b/>
                <w:bCs/>
              </w:rPr>
            </w:pPr>
            <w:r w:rsidRPr="001D30D4">
              <w:rPr>
                <w:b/>
                <w:bCs/>
              </w:rPr>
              <w:t xml:space="preserve">Experience: </w:t>
            </w:r>
          </w:p>
          <w:p w14:paraId="74EAF95F" w14:textId="658E5B2C" w:rsidR="00F94304" w:rsidRDefault="00895661" w:rsidP="00895661">
            <w:pPr>
              <w:pStyle w:val="Tablebullet"/>
              <w:numPr>
                <w:ilvl w:val="0"/>
                <w:numId w:val="0"/>
              </w:numPr>
              <w:ind w:left="357"/>
            </w:pPr>
            <w:r>
              <w:t>E</w:t>
            </w:r>
            <w:r w:rsidR="00F94304">
              <w:t xml:space="preserve">xperience in </w:t>
            </w:r>
            <w:r>
              <w:t xml:space="preserve">at least </w:t>
            </w:r>
            <w:r w:rsidR="00F94304">
              <w:t xml:space="preserve">two of the following; </w:t>
            </w:r>
          </w:p>
          <w:p w14:paraId="756DA739" w14:textId="19CD344C" w:rsidR="00F94304" w:rsidRDefault="00895661" w:rsidP="001D30D4">
            <w:pPr>
              <w:pStyle w:val="Tablebullet"/>
            </w:pPr>
            <w:r>
              <w:t>Working in a</w:t>
            </w:r>
            <w:r w:rsidR="00B83CBF">
              <w:t>n archive, library or museum</w:t>
            </w:r>
          </w:p>
          <w:p w14:paraId="0AB51D56" w14:textId="77777777" w:rsidR="003814CC" w:rsidRDefault="003814CC" w:rsidP="001D30D4">
            <w:pPr>
              <w:pStyle w:val="Tablebullet"/>
            </w:pPr>
            <w:r>
              <w:t>Dealing with a range of public enquiries and customer relationships</w:t>
            </w:r>
          </w:p>
          <w:p w14:paraId="613327CF" w14:textId="77777777" w:rsidR="003814CC" w:rsidRDefault="003814CC" w:rsidP="001D30D4">
            <w:pPr>
              <w:pStyle w:val="Tablebullet"/>
            </w:pPr>
            <w:r>
              <w:t>Arrangement and Description of archival collections</w:t>
            </w:r>
          </w:p>
          <w:p w14:paraId="028B198D" w14:textId="77777777" w:rsidR="00B83CBF" w:rsidRDefault="003814CC" w:rsidP="001D30D4">
            <w:pPr>
              <w:pStyle w:val="Tablebullet"/>
            </w:pPr>
            <w:r>
              <w:t xml:space="preserve">Provision of research services to archival collections </w:t>
            </w:r>
          </w:p>
          <w:p w14:paraId="2D5FF889" w14:textId="77777777" w:rsidR="003814CC" w:rsidRDefault="003814CC" w:rsidP="001D30D4">
            <w:pPr>
              <w:pStyle w:val="Tablebullet"/>
            </w:pPr>
            <w:r>
              <w:t>Records management systems, electronic and paper</w:t>
            </w:r>
          </w:p>
          <w:p w14:paraId="55CE7018" w14:textId="77777777" w:rsidR="008023C3" w:rsidRPr="001D30D4" w:rsidRDefault="008023C3" w:rsidP="001D30D4">
            <w:pPr>
              <w:pStyle w:val="Tablenormal0"/>
              <w:rPr>
                <w:b/>
                <w:bCs/>
              </w:rPr>
            </w:pPr>
            <w:r w:rsidRPr="001D30D4">
              <w:rPr>
                <w:b/>
                <w:bCs/>
              </w:rPr>
              <w:t>Knowledge:</w:t>
            </w:r>
          </w:p>
          <w:p w14:paraId="6BAF2EC5" w14:textId="77777777" w:rsidR="00A50A5E" w:rsidRDefault="00A50A5E" w:rsidP="00A50A5E">
            <w:pPr>
              <w:pStyle w:val="Tablebullet"/>
            </w:pPr>
            <w:r>
              <w:t xml:space="preserve">Tertiary qualification in librarianship, archives work, or related field (e.g. museum studies) </w:t>
            </w:r>
          </w:p>
          <w:p w14:paraId="3AA2248B" w14:textId="77777777" w:rsidR="00A50A5E" w:rsidRDefault="00A50A5E" w:rsidP="00A50A5E">
            <w:pPr>
              <w:pStyle w:val="Tablebullet"/>
            </w:pPr>
            <w:r>
              <w:lastRenderedPageBreak/>
              <w:t xml:space="preserve">Tertiary qualification, preferably with a component of New Zealand or Pacific studies, or </w:t>
            </w:r>
            <w:proofErr w:type="gramStart"/>
            <w:r>
              <w:t>other</w:t>
            </w:r>
            <w:proofErr w:type="gramEnd"/>
            <w:r>
              <w:t xml:space="preserve"> relevant subject</w:t>
            </w:r>
          </w:p>
          <w:p w14:paraId="7960AE67" w14:textId="77777777" w:rsidR="008023C3" w:rsidRPr="001D30D4" w:rsidRDefault="008023C3" w:rsidP="001D30D4">
            <w:pPr>
              <w:pStyle w:val="Tablenormal0"/>
              <w:rPr>
                <w:b/>
                <w:bCs/>
              </w:rPr>
            </w:pPr>
            <w:r w:rsidRPr="001D30D4">
              <w:rPr>
                <w:b/>
                <w:bCs/>
              </w:rPr>
              <w:t>Skills:</w:t>
            </w:r>
          </w:p>
          <w:p w14:paraId="0D0F9151" w14:textId="77777777" w:rsidR="008023C3" w:rsidRDefault="00A25FF9" w:rsidP="001D30D4">
            <w:pPr>
              <w:pStyle w:val="Tablebullet"/>
            </w:pPr>
            <w:r>
              <w:t>Action oriented, seizes opportunities, works hard</w:t>
            </w:r>
          </w:p>
          <w:p w14:paraId="2946997C" w14:textId="77777777" w:rsidR="00A25FF9" w:rsidRDefault="00A25FF9" w:rsidP="001D30D4">
            <w:pPr>
              <w:pStyle w:val="Tablebullet"/>
            </w:pPr>
            <w:r>
              <w:t>Customer focused – acts with customers in mind and uses customer feedback to improve services</w:t>
            </w:r>
          </w:p>
          <w:p w14:paraId="147AE159" w14:textId="77777777" w:rsidR="00A25FF9" w:rsidRDefault="00A25FF9" w:rsidP="001D30D4">
            <w:pPr>
              <w:pStyle w:val="Tablebullet"/>
            </w:pPr>
            <w:r>
              <w:t>Problem Solving, analysis, logical</w:t>
            </w:r>
          </w:p>
          <w:p w14:paraId="4923C8C1" w14:textId="77777777" w:rsidR="00A25FF9" w:rsidRDefault="00A25FF9" w:rsidP="001D30D4">
            <w:pPr>
              <w:pStyle w:val="Tablebullet"/>
            </w:pPr>
            <w:r>
              <w:t>Listening – demonstrates active listening and is patient</w:t>
            </w:r>
          </w:p>
          <w:p w14:paraId="7CD98181" w14:textId="77777777" w:rsidR="00A25FF9" w:rsidRDefault="00A25FF9" w:rsidP="001D30D4">
            <w:pPr>
              <w:pStyle w:val="Tablebullet"/>
            </w:pPr>
            <w:r>
              <w:t>Trustworthy and respected, seen as a truthful individual</w:t>
            </w:r>
          </w:p>
          <w:p w14:paraId="3F4A398F" w14:textId="77777777" w:rsidR="00DF3C84" w:rsidRPr="00AB482B" w:rsidRDefault="00DF3C84" w:rsidP="001D30D4">
            <w:pPr>
              <w:pStyle w:val="Tablebullet"/>
            </w:pPr>
            <w:r w:rsidRPr="00AB482B">
              <w:t>Attention to detail</w:t>
            </w:r>
          </w:p>
          <w:p w14:paraId="1D8EFAFE" w14:textId="77777777" w:rsidR="008023C3" w:rsidRPr="001D30D4" w:rsidRDefault="008023C3" w:rsidP="001D30D4">
            <w:pPr>
              <w:pStyle w:val="Tablenormal0"/>
              <w:rPr>
                <w:b/>
                <w:bCs/>
              </w:rPr>
            </w:pPr>
            <w:r w:rsidRPr="001D30D4">
              <w:rPr>
                <w:b/>
                <w:bCs/>
              </w:rPr>
              <w:t>Other requirements:</w:t>
            </w:r>
          </w:p>
          <w:p w14:paraId="113FA629" w14:textId="031A9A11" w:rsidR="008023C3" w:rsidRDefault="00895661" w:rsidP="001D30D4">
            <w:pPr>
              <w:pStyle w:val="Tablebullet"/>
            </w:pPr>
            <w:r>
              <w:t>Knowledge of T</w:t>
            </w:r>
            <w:r w:rsidR="00824829">
              <w:t>e Reo Māori is desirable</w:t>
            </w:r>
          </w:p>
          <w:p w14:paraId="51D63C19" w14:textId="77777777" w:rsidR="00824829" w:rsidRPr="001D30D4" w:rsidRDefault="00824829" w:rsidP="001D30D4">
            <w:pPr>
              <w:pStyle w:val="Tablebullet"/>
            </w:pPr>
            <w:r>
              <w:t>Knowledge and understanding of New Zealand and Pacific history and cultures</w:t>
            </w:r>
          </w:p>
        </w:tc>
      </w:tr>
      <w:tr w:rsidR="00A25FF9" w:rsidRPr="008023C3" w14:paraId="7F2DD443" w14:textId="77777777" w:rsidTr="001D30D4">
        <w:tc>
          <w:tcPr>
            <w:tcW w:w="4873" w:type="dxa"/>
            <w:tcBorders>
              <w:top w:val="nil"/>
              <w:left w:val="nil"/>
              <w:bottom w:val="single" w:sz="6" w:space="0" w:color="1F546B" w:themeColor="text2"/>
              <w:right w:val="single" w:sz="6" w:space="0" w:color="1F546B" w:themeColor="text2"/>
            </w:tcBorders>
          </w:tcPr>
          <w:p w14:paraId="18F1C4C2" w14:textId="77777777" w:rsidR="00A25FF9" w:rsidRPr="008023C3" w:rsidRDefault="00A25FF9" w:rsidP="009E40D1">
            <w:pPr>
              <w:pStyle w:val="Tablenormal0"/>
            </w:pPr>
          </w:p>
        </w:tc>
        <w:tc>
          <w:tcPr>
            <w:tcW w:w="4874" w:type="dxa"/>
            <w:tcBorders>
              <w:top w:val="nil"/>
              <w:left w:val="single" w:sz="6" w:space="0" w:color="1F546B" w:themeColor="text2"/>
              <w:bottom w:val="single" w:sz="6" w:space="0" w:color="1F546B" w:themeColor="text2"/>
              <w:right w:val="nil"/>
            </w:tcBorders>
          </w:tcPr>
          <w:p w14:paraId="0E160E43" w14:textId="77777777" w:rsidR="00A25FF9" w:rsidRPr="001D30D4" w:rsidRDefault="00A25FF9" w:rsidP="001D30D4">
            <w:pPr>
              <w:pStyle w:val="Tablenormal0"/>
              <w:rPr>
                <w:b/>
                <w:bCs/>
              </w:rPr>
            </w:pPr>
          </w:p>
        </w:tc>
      </w:tr>
    </w:tbl>
    <w:p w14:paraId="1C3509D3" w14:textId="77777777" w:rsidR="001676BD" w:rsidRPr="00B90EE6" w:rsidRDefault="001676BD" w:rsidP="00B90EE6">
      <w:pPr>
        <w:pStyle w:val="Tinyline"/>
      </w:pPr>
    </w:p>
    <w:sectPr w:rsidR="001676BD" w:rsidRPr="00B90EE6"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C2126" w14:textId="77777777" w:rsidR="00724443" w:rsidRDefault="00724443">
      <w:r>
        <w:separator/>
      </w:r>
    </w:p>
    <w:p w14:paraId="3BB096E1" w14:textId="77777777" w:rsidR="00724443" w:rsidRDefault="00724443"/>
    <w:p w14:paraId="00991B1F" w14:textId="77777777" w:rsidR="00724443" w:rsidRDefault="00724443"/>
  </w:endnote>
  <w:endnote w:type="continuationSeparator" w:id="0">
    <w:p w14:paraId="2849BF3E" w14:textId="77777777" w:rsidR="00724443" w:rsidRDefault="00724443">
      <w:r>
        <w:continuationSeparator/>
      </w:r>
    </w:p>
    <w:p w14:paraId="303A7438" w14:textId="77777777" w:rsidR="00724443" w:rsidRDefault="00724443"/>
    <w:p w14:paraId="4D895D80" w14:textId="77777777" w:rsidR="00724443" w:rsidRDefault="00724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5786" w14:textId="77777777" w:rsidR="007C1F5E" w:rsidRDefault="007C1F5E"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B378E3">
      <w:rPr>
        <w:noProof/>
      </w:rPr>
      <w:t>3</w:t>
    </w:r>
    <w:r>
      <w:fldChar w:fldCharType="end"/>
    </w:r>
    <w:r>
      <w:t xml:space="preserve"> of </w:t>
    </w:r>
    <w:r w:rsidR="00576310">
      <w:fldChar w:fldCharType="begin"/>
    </w:r>
    <w:r w:rsidR="00576310">
      <w:instrText xml:space="preserve"> NUMPAGES</w:instrText>
    </w:r>
    <w:r w:rsidR="00576310">
      <w:instrText xml:space="preserve">   \* MERGEFORMAT </w:instrText>
    </w:r>
    <w:r w:rsidR="00576310">
      <w:fldChar w:fldCharType="separate"/>
    </w:r>
    <w:r w:rsidR="00B378E3">
      <w:rPr>
        <w:noProof/>
      </w:rPr>
      <w:t>5</w:t>
    </w:r>
    <w:r w:rsidR="0057631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A9C7" w14:textId="77777777" w:rsidR="007C1F5E" w:rsidRDefault="007C1F5E" w:rsidP="00B110CD">
    <w:pPr>
      <w:pStyle w:val="Footer"/>
      <w:tabs>
        <w:tab w:val="right" w:pos="9639"/>
      </w:tabs>
      <w:ind w:right="-1"/>
      <w:jc w:val="right"/>
    </w:pPr>
    <w:r>
      <w:rPr>
        <w:noProof/>
        <w:lang w:eastAsia="en-NZ"/>
      </w:rPr>
      <w:drawing>
        <wp:inline distT="0" distB="0" distL="0" distR="0" wp14:anchorId="68619C39" wp14:editId="03B334F7">
          <wp:extent cx="2335530" cy="633095"/>
          <wp:effectExtent l="0" t="0" r="0" b="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6B5AD" w14:textId="77777777" w:rsidR="00724443" w:rsidRDefault="00724443" w:rsidP="00FB1990">
      <w:pPr>
        <w:pStyle w:val="Spacer"/>
      </w:pPr>
      <w:r>
        <w:separator/>
      </w:r>
    </w:p>
    <w:p w14:paraId="1C347196" w14:textId="77777777" w:rsidR="00724443" w:rsidRDefault="00724443" w:rsidP="00FB1990">
      <w:pPr>
        <w:pStyle w:val="Spacer"/>
      </w:pPr>
    </w:p>
  </w:footnote>
  <w:footnote w:type="continuationSeparator" w:id="0">
    <w:p w14:paraId="5C6C1751" w14:textId="77777777" w:rsidR="00724443" w:rsidRDefault="00724443">
      <w:r>
        <w:continuationSeparator/>
      </w:r>
    </w:p>
    <w:p w14:paraId="39C76E85" w14:textId="77777777" w:rsidR="00724443" w:rsidRDefault="00724443"/>
    <w:p w14:paraId="32E7B3F7" w14:textId="77777777" w:rsidR="00724443" w:rsidRDefault="007244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8C3C" w14:textId="77777777" w:rsidR="007C1F5E" w:rsidRDefault="007C1F5E" w:rsidP="007827B7">
    <w:pPr>
      <w:pStyle w:val="Header"/>
      <w:jc w:val="right"/>
    </w:pPr>
    <w:r w:rsidRPr="00CD3498">
      <w:tab/>
      <w:t>Te Tari Taiwhenua</w:t>
    </w:r>
  </w:p>
  <w:p w14:paraId="564CC65E" w14:textId="77777777" w:rsidR="007C1F5E" w:rsidRPr="00B30B8E" w:rsidRDefault="007C1F5E" w:rsidP="00B30B8E">
    <w:pPr>
      <w:pStyle w:val="Header"/>
      <w:jc w:val="right"/>
    </w:pPr>
    <w:r w:rsidRPr="00CD3498">
      <w:tab/>
      <w:t>Department of Internal Affairs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DE05" w14:textId="77777777" w:rsidR="007C1F5E" w:rsidRDefault="007C1F5E">
    <w:pPr>
      <w:pStyle w:val="Header"/>
    </w:pPr>
    <w:r>
      <w:rPr>
        <w:noProof/>
        <w:lang w:eastAsia="en-NZ"/>
      </w:rPr>
      <w:drawing>
        <wp:anchor distT="0" distB="0" distL="114300" distR="114300" simplePos="0" relativeHeight="251660288" behindDoc="0" locked="0" layoutInCell="1" allowOverlap="1" wp14:anchorId="1E21821F" wp14:editId="06899D3B">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75921F1"/>
    <w:multiLevelType w:val="hybridMultilevel"/>
    <w:tmpl w:val="9BE4E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9"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15:restartNumberingAfterBreak="0">
    <w:nsid w:val="72690192"/>
    <w:multiLevelType w:val="hybridMultilevel"/>
    <w:tmpl w:val="EF6818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20"/>
  </w:num>
  <w:num w:numId="9">
    <w:abstractNumId w:val="15"/>
  </w:num>
  <w:num w:numId="10">
    <w:abstractNumId w:val="11"/>
  </w:num>
  <w:num w:numId="11">
    <w:abstractNumId w:val="21"/>
  </w:num>
  <w:num w:numId="12">
    <w:abstractNumId w:val="23"/>
  </w:num>
  <w:num w:numId="13">
    <w:abstractNumId w:val="25"/>
  </w:num>
  <w:num w:numId="14">
    <w:abstractNumId w:val="7"/>
  </w:num>
  <w:num w:numId="15">
    <w:abstractNumId w:val="13"/>
  </w:num>
  <w:num w:numId="16">
    <w:abstractNumId w:val="27"/>
  </w:num>
  <w:num w:numId="17">
    <w:abstractNumId w:val="24"/>
  </w:num>
  <w:num w:numId="18">
    <w:abstractNumId w:val="22"/>
  </w:num>
  <w:num w:numId="19">
    <w:abstractNumId w:val="16"/>
  </w:num>
  <w:num w:numId="20">
    <w:abstractNumId w:val="14"/>
  </w:num>
  <w:num w:numId="21">
    <w:abstractNumId w:val="10"/>
  </w:num>
  <w:num w:numId="22">
    <w:abstractNumId w:val="6"/>
  </w:num>
  <w:num w:numId="23">
    <w:abstractNumId w:val="12"/>
  </w:num>
  <w:num w:numId="24">
    <w:abstractNumId w:val="9"/>
  </w:num>
  <w:num w:numId="25">
    <w:abstractNumId w:val="19"/>
  </w:num>
  <w:num w:numId="26">
    <w:abstractNumId w:val="18"/>
  </w:num>
  <w:num w:numId="27">
    <w:abstractNumId w:val="21"/>
  </w:num>
  <w:num w:numId="28">
    <w:abstractNumId w:val="23"/>
  </w:num>
  <w:num w:numId="29">
    <w:abstractNumId w:val="21"/>
  </w:num>
  <w:num w:numId="30">
    <w:abstractNumId w:val="21"/>
  </w:num>
  <w:num w:numId="31">
    <w:abstractNumId w:val="23"/>
  </w:num>
  <w:num w:numId="32">
    <w:abstractNumId w:val="23"/>
  </w:num>
  <w:num w:numId="33">
    <w:abstractNumId w:val="23"/>
  </w:num>
  <w:num w:numId="34">
    <w:abstractNumId w:val="8"/>
  </w:num>
  <w:num w:numId="35">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DD1"/>
    <w:rsid w:val="00003360"/>
    <w:rsid w:val="00003FC7"/>
    <w:rsid w:val="00005919"/>
    <w:rsid w:val="00007C42"/>
    <w:rsid w:val="00015020"/>
    <w:rsid w:val="0001647B"/>
    <w:rsid w:val="00020010"/>
    <w:rsid w:val="00034673"/>
    <w:rsid w:val="00036671"/>
    <w:rsid w:val="00037226"/>
    <w:rsid w:val="000409E2"/>
    <w:rsid w:val="00044EA1"/>
    <w:rsid w:val="0004703F"/>
    <w:rsid w:val="00054574"/>
    <w:rsid w:val="0005649A"/>
    <w:rsid w:val="00063BB2"/>
    <w:rsid w:val="00065F18"/>
    <w:rsid w:val="00067005"/>
    <w:rsid w:val="00075526"/>
    <w:rsid w:val="00076035"/>
    <w:rsid w:val="00077013"/>
    <w:rsid w:val="0008288C"/>
    <w:rsid w:val="000901EC"/>
    <w:rsid w:val="00091C3A"/>
    <w:rsid w:val="000D61F6"/>
    <w:rsid w:val="000E3240"/>
    <w:rsid w:val="000E677B"/>
    <w:rsid w:val="000F4ADF"/>
    <w:rsid w:val="000F4F73"/>
    <w:rsid w:val="000F605D"/>
    <w:rsid w:val="000F61AF"/>
    <w:rsid w:val="0010171C"/>
    <w:rsid w:val="00102FAD"/>
    <w:rsid w:val="00103381"/>
    <w:rsid w:val="00105000"/>
    <w:rsid w:val="00121870"/>
    <w:rsid w:val="00126FDE"/>
    <w:rsid w:val="0013703F"/>
    <w:rsid w:val="00140ED2"/>
    <w:rsid w:val="00143E7C"/>
    <w:rsid w:val="0014415C"/>
    <w:rsid w:val="0014565E"/>
    <w:rsid w:val="001536C9"/>
    <w:rsid w:val="00155DC0"/>
    <w:rsid w:val="0015659F"/>
    <w:rsid w:val="0016433D"/>
    <w:rsid w:val="001676BD"/>
    <w:rsid w:val="00183CDB"/>
    <w:rsid w:val="00184C0F"/>
    <w:rsid w:val="001A069E"/>
    <w:rsid w:val="001A5F55"/>
    <w:rsid w:val="001C0031"/>
    <w:rsid w:val="001C0C30"/>
    <w:rsid w:val="001C15EE"/>
    <w:rsid w:val="001D0111"/>
    <w:rsid w:val="001D30CB"/>
    <w:rsid w:val="001D30D4"/>
    <w:rsid w:val="001D7EAE"/>
    <w:rsid w:val="001E3565"/>
    <w:rsid w:val="001E56D6"/>
    <w:rsid w:val="001E64FC"/>
    <w:rsid w:val="001F0724"/>
    <w:rsid w:val="002007DF"/>
    <w:rsid w:val="00205FE8"/>
    <w:rsid w:val="00206BA3"/>
    <w:rsid w:val="00211B68"/>
    <w:rsid w:val="0021498D"/>
    <w:rsid w:val="00215160"/>
    <w:rsid w:val="002224B4"/>
    <w:rsid w:val="00226D5E"/>
    <w:rsid w:val="00237A3D"/>
    <w:rsid w:val="00240E83"/>
    <w:rsid w:val="002424AE"/>
    <w:rsid w:val="002452F8"/>
    <w:rsid w:val="002502D1"/>
    <w:rsid w:val="0025202F"/>
    <w:rsid w:val="00255E1D"/>
    <w:rsid w:val="00260A17"/>
    <w:rsid w:val="00265C5D"/>
    <w:rsid w:val="00265F69"/>
    <w:rsid w:val="00267EDC"/>
    <w:rsid w:val="00270EEC"/>
    <w:rsid w:val="002777D8"/>
    <w:rsid w:val="002806A2"/>
    <w:rsid w:val="00285621"/>
    <w:rsid w:val="00297CC7"/>
    <w:rsid w:val="002A194F"/>
    <w:rsid w:val="002A4BD9"/>
    <w:rsid w:val="002A4FE7"/>
    <w:rsid w:val="002B1CEB"/>
    <w:rsid w:val="002C71C6"/>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814CC"/>
    <w:rsid w:val="003A10DA"/>
    <w:rsid w:val="003A12C8"/>
    <w:rsid w:val="003A6FFE"/>
    <w:rsid w:val="003A7695"/>
    <w:rsid w:val="003B3A23"/>
    <w:rsid w:val="003B6592"/>
    <w:rsid w:val="003C772C"/>
    <w:rsid w:val="003D175D"/>
    <w:rsid w:val="003F1357"/>
    <w:rsid w:val="003F2B58"/>
    <w:rsid w:val="003F52D2"/>
    <w:rsid w:val="003F5886"/>
    <w:rsid w:val="0040020C"/>
    <w:rsid w:val="00401CA0"/>
    <w:rsid w:val="0040700B"/>
    <w:rsid w:val="00407F54"/>
    <w:rsid w:val="00411341"/>
    <w:rsid w:val="00413966"/>
    <w:rsid w:val="00415015"/>
    <w:rsid w:val="00415CDB"/>
    <w:rsid w:val="00421C8F"/>
    <w:rsid w:val="004231DC"/>
    <w:rsid w:val="0042551E"/>
    <w:rsid w:val="00433AD8"/>
    <w:rsid w:val="004360C0"/>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E44EF"/>
    <w:rsid w:val="004F044D"/>
    <w:rsid w:val="004F2E8A"/>
    <w:rsid w:val="004F55E1"/>
    <w:rsid w:val="00501C4B"/>
    <w:rsid w:val="005028A7"/>
    <w:rsid w:val="005078B7"/>
    <w:rsid w:val="00510D73"/>
    <w:rsid w:val="00512ACB"/>
    <w:rsid w:val="0052216D"/>
    <w:rsid w:val="00526115"/>
    <w:rsid w:val="00533FAF"/>
    <w:rsid w:val="00535DF5"/>
    <w:rsid w:val="005366B6"/>
    <w:rsid w:val="0054495E"/>
    <w:rsid w:val="00554BCD"/>
    <w:rsid w:val="00555F60"/>
    <w:rsid w:val="005605A5"/>
    <w:rsid w:val="00560B3C"/>
    <w:rsid w:val="00561A97"/>
    <w:rsid w:val="00563DAC"/>
    <w:rsid w:val="0056672E"/>
    <w:rsid w:val="005675E0"/>
    <w:rsid w:val="00570A71"/>
    <w:rsid w:val="00570C00"/>
    <w:rsid w:val="00576310"/>
    <w:rsid w:val="00576AAA"/>
    <w:rsid w:val="0058206B"/>
    <w:rsid w:val="005848D3"/>
    <w:rsid w:val="00585690"/>
    <w:rsid w:val="005900D9"/>
    <w:rsid w:val="00594AAA"/>
    <w:rsid w:val="00595B33"/>
    <w:rsid w:val="0059662F"/>
    <w:rsid w:val="005A2652"/>
    <w:rsid w:val="005A7702"/>
    <w:rsid w:val="005B500E"/>
    <w:rsid w:val="005B7254"/>
    <w:rsid w:val="005D3066"/>
    <w:rsid w:val="005D6013"/>
    <w:rsid w:val="005E4205"/>
    <w:rsid w:val="005E4B13"/>
    <w:rsid w:val="005E4C02"/>
    <w:rsid w:val="005F01DF"/>
    <w:rsid w:val="005F76CC"/>
    <w:rsid w:val="005F7FE0"/>
    <w:rsid w:val="005F7FF8"/>
    <w:rsid w:val="006004C4"/>
    <w:rsid w:val="00600CA4"/>
    <w:rsid w:val="00602416"/>
    <w:rsid w:val="006025CE"/>
    <w:rsid w:val="006041F2"/>
    <w:rsid w:val="006064F5"/>
    <w:rsid w:val="00616BF8"/>
    <w:rsid w:val="00617298"/>
    <w:rsid w:val="006336F1"/>
    <w:rsid w:val="00637753"/>
    <w:rsid w:val="0065605C"/>
    <w:rsid w:val="00660CE4"/>
    <w:rsid w:val="00662716"/>
    <w:rsid w:val="00665A0B"/>
    <w:rsid w:val="006665CD"/>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702F2C"/>
    <w:rsid w:val="007068C8"/>
    <w:rsid w:val="007070C3"/>
    <w:rsid w:val="00715B8F"/>
    <w:rsid w:val="00723C01"/>
    <w:rsid w:val="00724443"/>
    <w:rsid w:val="0072750F"/>
    <w:rsid w:val="0073106E"/>
    <w:rsid w:val="00737813"/>
    <w:rsid w:val="007544D1"/>
    <w:rsid w:val="00755142"/>
    <w:rsid w:val="00756BB7"/>
    <w:rsid w:val="007571DF"/>
    <w:rsid w:val="0075764B"/>
    <w:rsid w:val="00760C01"/>
    <w:rsid w:val="00761293"/>
    <w:rsid w:val="00767C04"/>
    <w:rsid w:val="007736A2"/>
    <w:rsid w:val="007827B7"/>
    <w:rsid w:val="007A1388"/>
    <w:rsid w:val="007A6226"/>
    <w:rsid w:val="007B3C61"/>
    <w:rsid w:val="007C1F5E"/>
    <w:rsid w:val="007D1918"/>
    <w:rsid w:val="007F03F2"/>
    <w:rsid w:val="008023C3"/>
    <w:rsid w:val="008031DF"/>
    <w:rsid w:val="008065D7"/>
    <w:rsid w:val="008111A3"/>
    <w:rsid w:val="00816E30"/>
    <w:rsid w:val="0081703A"/>
    <w:rsid w:val="0082264B"/>
    <w:rsid w:val="00824829"/>
    <w:rsid w:val="0082765B"/>
    <w:rsid w:val="008352B1"/>
    <w:rsid w:val="008353E7"/>
    <w:rsid w:val="00835BD7"/>
    <w:rsid w:val="008428E8"/>
    <w:rsid w:val="00842DD1"/>
    <w:rsid w:val="00843D71"/>
    <w:rsid w:val="0084591F"/>
    <w:rsid w:val="00846F11"/>
    <w:rsid w:val="0084745A"/>
    <w:rsid w:val="00857593"/>
    <w:rsid w:val="0086532B"/>
    <w:rsid w:val="00870045"/>
    <w:rsid w:val="00876E5F"/>
    <w:rsid w:val="00877819"/>
    <w:rsid w:val="00877EEA"/>
    <w:rsid w:val="00883B1E"/>
    <w:rsid w:val="00884A12"/>
    <w:rsid w:val="00890CE4"/>
    <w:rsid w:val="00891ED7"/>
    <w:rsid w:val="00894BD6"/>
    <w:rsid w:val="00895661"/>
    <w:rsid w:val="00895F97"/>
    <w:rsid w:val="008B7B54"/>
    <w:rsid w:val="008C2026"/>
    <w:rsid w:val="008C3187"/>
    <w:rsid w:val="008C5E4F"/>
    <w:rsid w:val="008D63B7"/>
    <w:rsid w:val="008D6A03"/>
    <w:rsid w:val="008D6CA7"/>
    <w:rsid w:val="008E508C"/>
    <w:rsid w:val="008E751B"/>
    <w:rsid w:val="008E7FEE"/>
    <w:rsid w:val="008F2F06"/>
    <w:rsid w:val="008F31F5"/>
    <w:rsid w:val="008F67F5"/>
    <w:rsid w:val="008F6BCE"/>
    <w:rsid w:val="00900D4B"/>
    <w:rsid w:val="00905F9B"/>
    <w:rsid w:val="00913E95"/>
    <w:rsid w:val="009161CB"/>
    <w:rsid w:val="009170B9"/>
    <w:rsid w:val="00923A87"/>
    <w:rsid w:val="00927482"/>
    <w:rsid w:val="00936FF5"/>
    <w:rsid w:val="009457E1"/>
    <w:rsid w:val="0094654B"/>
    <w:rsid w:val="0095112B"/>
    <w:rsid w:val="00951E21"/>
    <w:rsid w:val="00952122"/>
    <w:rsid w:val="0095712A"/>
    <w:rsid w:val="009576D4"/>
    <w:rsid w:val="0096306D"/>
    <w:rsid w:val="00973A6D"/>
    <w:rsid w:val="009804E0"/>
    <w:rsid w:val="00983735"/>
    <w:rsid w:val="009865AA"/>
    <w:rsid w:val="00987080"/>
    <w:rsid w:val="0098765A"/>
    <w:rsid w:val="00987E5B"/>
    <w:rsid w:val="00991620"/>
    <w:rsid w:val="009968B0"/>
    <w:rsid w:val="009A6CB2"/>
    <w:rsid w:val="009B0982"/>
    <w:rsid w:val="009B4C99"/>
    <w:rsid w:val="009C0471"/>
    <w:rsid w:val="009C13FB"/>
    <w:rsid w:val="009C42A8"/>
    <w:rsid w:val="009D28CF"/>
    <w:rsid w:val="009D546F"/>
    <w:rsid w:val="009E40D1"/>
    <w:rsid w:val="009E5D36"/>
    <w:rsid w:val="009E6375"/>
    <w:rsid w:val="009E7CA0"/>
    <w:rsid w:val="00A04392"/>
    <w:rsid w:val="00A069CE"/>
    <w:rsid w:val="00A109D8"/>
    <w:rsid w:val="00A16003"/>
    <w:rsid w:val="00A167D7"/>
    <w:rsid w:val="00A23D39"/>
    <w:rsid w:val="00A23EC2"/>
    <w:rsid w:val="00A24FBB"/>
    <w:rsid w:val="00A25FF9"/>
    <w:rsid w:val="00A332E8"/>
    <w:rsid w:val="00A3453E"/>
    <w:rsid w:val="00A42ED2"/>
    <w:rsid w:val="00A44B33"/>
    <w:rsid w:val="00A50A5E"/>
    <w:rsid w:val="00A50E00"/>
    <w:rsid w:val="00A52529"/>
    <w:rsid w:val="00A53624"/>
    <w:rsid w:val="00A55EAF"/>
    <w:rsid w:val="00A5766B"/>
    <w:rsid w:val="00A772E8"/>
    <w:rsid w:val="00A77512"/>
    <w:rsid w:val="00A863E3"/>
    <w:rsid w:val="00A94161"/>
    <w:rsid w:val="00A97BFB"/>
    <w:rsid w:val="00AB0BBC"/>
    <w:rsid w:val="00AB3A92"/>
    <w:rsid w:val="00AB478B"/>
    <w:rsid w:val="00AB47AC"/>
    <w:rsid w:val="00AB482B"/>
    <w:rsid w:val="00AB4AD9"/>
    <w:rsid w:val="00AD6E77"/>
    <w:rsid w:val="00AD7A25"/>
    <w:rsid w:val="00AD7BF3"/>
    <w:rsid w:val="00AE2666"/>
    <w:rsid w:val="00AF3A5A"/>
    <w:rsid w:val="00AF3E15"/>
    <w:rsid w:val="00AF5218"/>
    <w:rsid w:val="00AF60A0"/>
    <w:rsid w:val="00B038F2"/>
    <w:rsid w:val="00B0480E"/>
    <w:rsid w:val="00B1026A"/>
    <w:rsid w:val="00B110CD"/>
    <w:rsid w:val="00B21166"/>
    <w:rsid w:val="00B263AE"/>
    <w:rsid w:val="00B30B8E"/>
    <w:rsid w:val="00B33A6C"/>
    <w:rsid w:val="00B35878"/>
    <w:rsid w:val="00B378E3"/>
    <w:rsid w:val="00B42F17"/>
    <w:rsid w:val="00B43A02"/>
    <w:rsid w:val="00B47091"/>
    <w:rsid w:val="00B54416"/>
    <w:rsid w:val="00B56534"/>
    <w:rsid w:val="00B57A21"/>
    <w:rsid w:val="00B62C3E"/>
    <w:rsid w:val="00B645DE"/>
    <w:rsid w:val="00B65857"/>
    <w:rsid w:val="00B66698"/>
    <w:rsid w:val="00B7059B"/>
    <w:rsid w:val="00B745DC"/>
    <w:rsid w:val="00B837B6"/>
    <w:rsid w:val="00B83CBF"/>
    <w:rsid w:val="00B84350"/>
    <w:rsid w:val="00B855A6"/>
    <w:rsid w:val="00B90EE6"/>
    <w:rsid w:val="00B91098"/>
    <w:rsid w:val="00B91904"/>
    <w:rsid w:val="00B92735"/>
    <w:rsid w:val="00B95E55"/>
    <w:rsid w:val="00B969ED"/>
    <w:rsid w:val="00BA77F1"/>
    <w:rsid w:val="00BB0D90"/>
    <w:rsid w:val="00BB3B51"/>
    <w:rsid w:val="00BB60C6"/>
    <w:rsid w:val="00BB7984"/>
    <w:rsid w:val="00BC45F7"/>
    <w:rsid w:val="00BC6A06"/>
    <w:rsid w:val="00BD137C"/>
    <w:rsid w:val="00BE31E5"/>
    <w:rsid w:val="00BE3BC7"/>
    <w:rsid w:val="00BF0C5F"/>
    <w:rsid w:val="00BF1AB7"/>
    <w:rsid w:val="00BF7FE9"/>
    <w:rsid w:val="00C03596"/>
    <w:rsid w:val="00C05EEC"/>
    <w:rsid w:val="00C15A13"/>
    <w:rsid w:val="00C238D9"/>
    <w:rsid w:val="00C24A9D"/>
    <w:rsid w:val="00C2677E"/>
    <w:rsid w:val="00C31542"/>
    <w:rsid w:val="00C32604"/>
    <w:rsid w:val="00C5028E"/>
    <w:rsid w:val="00C52B40"/>
    <w:rsid w:val="00C54E78"/>
    <w:rsid w:val="00C6078D"/>
    <w:rsid w:val="00C657CF"/>
    <w:rsid w:val="00C76624"/>
    <w:rsid w:val="00C80D62"/>
    <w:rsid w:val="00C8388B"/>
    <w:rsid w:val="00C84944"/>
    <w:rsid w:val="00C90217"/>
    <w:rsid w:val="00C95773"/>
    <w:rsid w:val="00C96BFD"/>
    <w:rsid w:val="00C96C98"/>
    <w:rsid w:val="00CA5358"/>
    <w:rsid w:val="00CB1DCA"/>
    <w:rsid w:val="00CD1F58"/>
    <w:rsid w:val="00CD502A"/>
    <w:rsid w:val="00CF0C77"/>
    <w:rsid w:val="00CF0EF5"/>
    <w:rsid w:val="00CF12CF"/>
    <w:rsid w:val="00CF4BE3"/>
    <w:rsid w:val="00D060D2"/>
    <w:rsid w:val="00D13D1E"/>
    <w:rsid w:val="00D13E2D"/>
    <w:rsid w:val="00D14394"/>
    <w:rsid w:val="00D242CD"/>
    <w:rsid w:val="00D26F74"/>
    <w:rsid w:val="00D341C3"/>
    <w:rsid w:val="00D42843"/>
    <w:rsid w:val="00D43F10"/>
    <w:rsid w:val="00D5152A"/>
    <w:rsid w:val="00D560EB"/>
    <w:rsid w:val="00D6259A"/>
    <w:rsid w:val="00D65145"/>
    <w:rsid w:val="00D67014"/>
    <w:rsid w:val="00D73D87"/>
    <w:rsid w:val="00D74314"/>
    <w:rsid w:val="00D81410"/>
    <w:rsid w:val="00D92505"/>
    <w:rsid w:val="00DA267C"/>
    <w:rsid w:val="00DA27B3"/>
    <w:rsid w:val="00DA5101"/>
    <w:rsid w:val="00DA62E8"/>
    <w:rsid w:val="00DA79EF"/>
    <w:rsid w:val="00DB0C0B"/>
    <w:rsid w:val="00DB3B74"/>
    <w:rsid w:val="00DC0208"/>
    <w:rsid w:val="00DC5870"/>
    <w:rsid w:val="00DD0384"/>
    <w:rsid w:val="00DD0901"/>
    <w:rsid w:val="00DD4AB0"/>
    <w:rsid w:val="00DE16B6"/>
    <w:rsid w:val="00DE3323"/>
    <w:rsid w:val="00DE36CA"/>
    <w:rsid w:val="00DE7E63"/>
    <w:rsid w:val="00DF3491"/>
    <w:rsid w:val="00DF3C84"/>
    <w:rsid w:val="00DF5AA8"/>
    <w:rsid w:val="00DF77A2"/>
    <w:rsid w:val="00E25650"/>
    <w:rsid w:val="00E367C5"/>
    <w:rsid w:val="00E37DFF"/>
    <w:rsid w:val="00E37E71"/>
    <w:rsid w:val="00E42486"/>
    <w:rsid w:val="00E42847"/>
    <w:rsid w:val="00E45862"/>
    <w:rsid w:val="00E46064"/>
    <w:rsid w:val="00E604A1"/>
    <w:rsid w:val="00E65033"/>
    <w:rsid w:val="00E7293C"/>
    <w:rsid w:val="00E73AA8"/>
    <w:rsid w:val="00E76812"/>
    <w:rsid w:val="00E80228"/>
    <w:rsid w:val="00E86D2A"/>
    <w:rsid w:val="00E8711A"/>
    <w:rsid w:val="00EA2ED4"/>
    <w:rsid w:val="00EA491A"/>
    <w:rsid w:val="00EA6AD8"/>
    <w:rsid w:val="00EB1583"/>
    <w:rsid w:val="00EB54A9"/>
    <w:rsid w:val="00EC23FB"/>
    <w:rsid w:val="00EC7017"/>
    <w:rsid w:val="00ED4356"/>
    <w:rsid w:val="00ED7681"/>
    <w:rsid w:val="00EE243C"/>
    <w:rsid w:val="00EF63C6"/>
    <w:rsid w:val="00F034FB"/>
    <w:rsid w:val="00F05606"/>
    <w:rsid w:val="00F070EB"/>
    <w:rsid w:val="00F105F5"/>
    <w:rsid w:val="00F1075A"/>
    <w:rsid w:val="00F22E82"/>
    <w:rsid w:val="00F2483A"/>
    <w:rsid w:val="00F337BF"/>
    <w:rsid w:val="00F33D14"/>
    <w:rsid w:val="00F473B6"/>
    <w:rsid w:val="00F52E57"/>
    <w:rsid w:val="00F53E06"/>
    <w:rsid w:val="00F54188"/>
    <w:rsid w:val="00F54CC0"/>
    <w:rsid w:val="00F727A5"/>
    <w:rsid w:val="00F847A9"/>
    <w:rsid w:val="00F94304"/>
    <w:rsid w:val="00F97F43"/>
    <w:rsid w:val="00FA5FE9"/>
    <w:rsid w:val="00FA67D2"/>
    <w:rsid w:val="00FB1990"/>
    <w:rsid w:val="00FB302F"/>
    <w:rsid w:val="00FB5A92"/>
    <w:rsid w:val="00FC1C69"/>
    <w:rsid w:val="00FC3739"/>
    <w:rsid w:val="00FC37F8"/>
    <w:rsid w:val="00FC6645"/>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C4EDA8"/>
  <w15:docId w15:val="{45C203F1-1467-447C-9396-76E284FE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styleId="CommentText">
    <w:name w:val="annotation text"/>
    <w:basedOn w:val="Normal"/>
    <w:link w:val="CommentTextChar"/>
    <w:uiPriority w:val="99"/>
    <w:semiHidden/>
    <w:unhideWhenUsed/>
    <w:rsid w:val="00A772E8"/>
    <w:rPr>
      <w:sz w:val="20"/>
      <w:szCs w:val="20"/>
    </w:rPr>
  </w:style>
  <w:style w:type="character" w:customStyle="1" w:styleId="CommentTextChar">
    <w:name w:val="Comment Text Char"/>
    <w:basedOn w:val="DefaultParagraphFont"/>
    <w:link w:val="CommentText"/>
    <w:uiPriority w:val="99"/>
    <w:semiHidden/>
    <w:rsid w:val="00A772E8"/>
    <w:rPr>
      <w:sz w:val="20"/>
      <w:szCs w:val="20"/>
      <w:lang w:eastAsia="en-US"/>
    </w:rPr>
  </w:style>
  <w:style w:type="paragraph" w:styleId="CommentSubject">
    <w:name w:val="annotation subject"/>
    <w:basedOn w:val="CommentText"/>
    <w:next w:val="CommentText"/>
    <w:link w:val="CommentSubjectChar"/>
    <w:uiPriority w:val="99"/>
    <w:semiHidden/>
    <w:unhideWhenUsed/>
    <w:rsid w:val="00A772E8"/>
    <w:rPr>
      <w:b/>
      <w:bCs/>
    </w:rPr>
  </w:style>
  <w:style w:type="character" w:customStyle="1" w:styleId="CommentSubjectChar">
    <w:name w:val="Comment Subject Char"/>
    <w:basedOn w:val="CommentTextChar"/>
    <w:link w:val="CommentSubject"/>
    <w:uiPriority w:val="99"/>
    <w:semiHidden/>
    <w:rsid w:val="00A772E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58396">
      <w:bodyDiv w:val="1"/>
      <w:marLeft w:val="0"/>
      <w:marRight w:val="0"/>
      <w:marTop w:val="0"/>
      <w:marBottom w:val="0"/>
      <w:divBdr>
        <w:top w:val="none" w:sz="0" w:space="0" w:color="auto"/>
        <w:left w:val="none" w:sz="0" w:space="0" w:color="auto"/>
        <w:bottom w:val="none" w:sz="0" w:space="0" w:color="auto"/>
        <w:right w:val="none" w:sz="0" w:space="0" w:color="auto"/>
      </w:divBdr>
    </w:div>
    <w:div w:id="10168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a.govt.nz/diawebsite.nsf/Files/DIA_Profile_Valued_Contributor_v7/$file/DIA_Profile_Valued_Contributor_v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7E6A-0BA2-4AAD-A04A-799E88C4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905</Words>
  <Characters>5591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Watling</dc:creator>
  <cp:lastModifiedBy>Matt Steindl</cp:lastModifiedBy>
  <cp:revision>4</cp:revision>
  <cp:lastPrinted>2014-12-23T20:51:00Z</cp:lastPrinted>
  <dcterms:created xsi:type="dcterms:W3CDTF">2021-05-06T23:16:00Z</dcterms:created>
  <dcterms:modified xsi:type="dcterms:W3CDTF">2021-05-28T03:57:00Z</dcterms:modified>
</cp:coreProperties>
</file>