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106E" w14:textId="77777777" w:rsidR="00343F23" w:rsidRDefault="00343F23" w:rsidP="00343F23">
      <w:pPr>
        <w:pStyle w:val="Heading1"/>
      </w:pPr>
      <w:bookmarkStart w:id="0" w:name="_GoBack"/>
      <w:bookmarkEnd w:id="0"/>
      <w:r>
        <w:t>Principal Advisor, Organisational Risk</w:t>
      </w:r>
    </w:p>
    <w:p w14:paraId="669B1BC2" w14:textId="71649456" w:rsidR="001676BD" w:rsidRPr="001676BD" w:rsidRDefault="00343F23" w:rsidP="001676BD">
      <w:pPr>
        <w:pStyle w:val="Heading2"/>
      </w:pPr>
      <w:r>
        <w:t>Governance, Risk and Assurance</w:t>
      </w:r>
      <w:r w:rsidR="001676BD" w:rsidRPr="001676BD">
        <w:t xml:space="preserve">, </w:t>
      </w:r>
      <w:r>
        <w:t xml:space="preserve">Organisational Strategy and Performance Branch </w:t>
      </w:r>
    </w:p>
    <w:p w14:paraId="5EA3B119" w14:textId="2BD597B5" w:rsidR="00C702F5" w:rsidRDefault="00343F23" w:rsidP="00F15835">
      <w:pPr>
        <w:pStyle w:val="Tablebullet"/>
        <w:numPr>
          <w:ilvl w:val="0"/>
          <w:numId w:val="0"/>
        </w:numPr>
      </w:pPr>
      <w:r w:rsidRPr="00343F23">
        <w:t xml:space="preserve">The Principal Advisor Organisational Risk will provide sound advice and assurance to </w:t>
      </w:r>
      <w:r w:rsidR="00F15835">
        <w:t>the Department’s</w:t>
      </w:r>
      <w:r w:rsidRPr="00343F23">
        <w:t xml:space="preserve"> senior leaders regarding the monitoring and oversight of enterprise risks and more generally on organisational risk management methodology and practice.  The Principal Advisor will work with senior leaders and risk practitioners across the Department to lift </w:t>
      </w:r>
      <w:r w:rsidR="00C702F5">
        <w:t xml:space="preserve">our </w:t>
      </w:r>
      <w:r w:rsidRPr="00343F23">
        <w:t>risk management maturity,</w:t>
      </w:r>
      <w:r w:rsidR="005E252A">
        <w:t xml:space="preserve"> </w:t>
      </w:r>
      <w:r w:rsidRPr="00343F23">
        <w:t>practice and capability and will collaborate with other specialists in the OSP</w:t>
      </w:r>
      <w:r w:rsidR="006A0275">
        <w:t xml:space="preserve"> branch </w:t>
      </w:r>
      <w:r w:rsidRPr="00343F23">
        <w:t xml:space="preserve">to provide best practice advice, guidance and support on risk identification and risk management in DIA.  </w:t>
      </w:r>
    </w:p>
    <w:p w14:paraId="61AC6F65" w14:textId="77777777" w:rsidR="005E252A" w:rsidRPr="00F15835" w:rsidRDefault="005E252A" w:rsidP="00F15835">
      <w:pPr>
        <w:pStyle w:val="Tablebullet"/>
        <w:numPr>
          <w:ilvl w:val="0"/>
          <w:numId w:val="0"/>
        </w:numPr>
        <w:rPr>
          <w:sz w:val="12"/>
        </w:rPr>
      </w:pPr>
    </w:p>
    <w:p w14:paraId="6CA5267B"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343F23">
        <w:t>Manager, Governance Risk and Assurance</w:t>
      </w:r>
    </w:p>
    <w:p w14:paraId="16C22570" w14:textId="77777777" w:rsidR="001676BD" w:rsidRPr="005A2652" w:rsidRDefault="001676BD" w:rsidP="001676BD">
      <w:pPr>
        <w:pStyle w:val="Bullethighlighted"/>
        <w:rPr>
          <w:rStyle w:val="BullethighlightedChar"/>
        </w:rPr>
      </w:pPr>
      <w:r w:rsidRPr="00285621">
        <w:t>Location:</w:t>
      </w:r>
      <w:r>
        <w:t xml:space="preserve"> </w:t>
      </w:r>
      <w:r w:rsidR="00343F23">
        <w:rPr>
          <w:b w:val="0"/>
          <w:color w:val="auto"/>
        </w:rPr>
        <w:t>Wellington</w:t>
      </w:r>
    </w:p>
    <w:p w14:paraId="3122EAC4"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343F23">
        <w:t>Corporate – Band J PA Risk</w:t>
      </w:r>
    </w:p>
    <w:p w14:paraId="23953A12"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2EE1885A" w14:textId="77777777" w:rsidR="005D6013" w:rsidRPr="00285621" w:rsidRDefault="00BF0C5F" w:rsidP="00A76720">
      <w:pPr>
        <w:ind w:right="850"/>
      </w:pPr>
      <w:r w:rsidRPr="00285621">
        <w:t>Our purpose is t</w:t>
      </w:r>
      <w:r w:rsidR="001676BD" w:rsidRPr="00285621">
        <w:t>o serve and connect people, communities and government to build a safe, prosperous and respected nation.</w:t>
      </w:r>
    </w:p>
    <w:p w14:paraId="1D38A6EF" w14:textId="77777777" w:rsidR="001676BD" w:rsidRPr="00285621" w:rsidRDefault="00BF0C5F" w:rsidP="00285621">
      <w:r w:rsidRPr="00285621">
        <w:t>In other words, it’s all about helping to make New Zealand better for New Zealanders.</w:t>
      </w:r>
    </w:p>
    <w:p w14:paraId="2168E82E"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57D182F8" w14:textId="77777777" w:rsidTr="006336F1">
        <w:tc>
          <w:tcPr>
            <w:tcW w:w="1701" w:type="dxa"/>
            <w:vMerge w:val="restart"/>
          </w:tcPr>
          <w:p w14:paraId="509FFFE1"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5284C68" w14:textId="77777777" w:rsidR="0046587F" w:rsidRPr="00DA62E8" w:rsidRDefault="0046587F" w:rsidP="00DA62E8">
            <w:pPr>
              <w:pStyle w:val="Heading3"/>
            </w:pPr>
            <w:r w:rsidRPr="00DA62E8">
              <w:t xml:space="preserve">We make it easy, we make it work </w:t>
            </w:r>
          </w:p>
          <w:p w14:paraId="1607FA51" w14:textId="77777777" w:rsidR="0046587F" w:rsidRPr="00DA62E8" w:rsidRDefault="0046587F" w:rsidP="00DA62E8">
            <w:pPr>
              <w:pStyle w:val="Tablebullet"/>
            </w:pPr>
            <w:r w:rsidRPr="00DA62E8">
              <w:t>Customer centred</w:t>
            </w:r>
          </w:p>
          <w:p w14:paraId="4B1AA24F" w14:textId="77777777" w:rsidR="0046587F" w:rsidRPr="00BF0C5F" w:rsidRDefault="0046587F" w:rsidP="00DA62E8">
            <w:pPr>
              <w:pStyle w:val="Tablebullet"/>
            </w:pPr>
            <w:r w:rsidRPr="00DA62E8">
              <w:t>Make things even better</w:t>
            </w:r>
          </w:p>
        </w:tc>
      </w:tr>
      <w:tr w:rsidR="0046587F" w14:paraId="2F8A2937" w14:textId="77777777" w:rsidTr="006336F1">
        <w:tc>
          <w:tcPr>
            <w:tcW w:w="1701" w:type="dxa"/>
            <w:vMerge/>
          </w:tcPr>
          <w:p w14:paraId="1B9A4EDE" w14:textId="77777777" w:rsidR="0046587F" w:rsidRDefault="0046587F" w:rsidP="00DA62E8">
            <w:pPr>
              <w:pStyle w:val="Tablenormal0"/>
            </w:pPr>
          </w:p>
        </w:tc>
        <w:tc>
          <w:tcPr>
            <w:tcW w:w="8557" w:type="dxa"/>
          </w:tcPr>
          <w:p w14:paraId="09D06E46" w14:textId="77777777" w:rsidR="0046587F" w:rsidRPr="005D6013" w:rsidRDefault="0046587F" w:rsidP="00DA62E8">
            <w:pPr>
              <w:pStyle w:val="Heading3"/>
            </w:pPr>
            <w:r w:rsidRPr="005D6013">
              <w:t xml:space="preserve">We’re stronger together </w:t>
            </w:r>
          </w:p>
          <w:p w14:paraId="1C231BD2" w14:textId="77777777" w:rsidR="0046587F" w:rsidRPr="00DA62E8" w:rsidRDefault="0046587F" w:rsidP="00DA62E8">
            <w:pPr>
              <w:pStyle w:val="Tablebullet"/>
            </w:pPr>
            <w:r w:rsidRPr="00DA62E8">
              <w:t>Work as a team</w:t>
            </w:r>
          </w:p>
          <w:p w14:paraId="09EEF719" w14:textId="77777777" w:rsidR="0046587F" w:rsidRPr="00BF0C5F" w:rsidRDefault="0046587F" w:rsidP="00DA62E8">
            <w:pPr>
              <w:pStyle w:val="Tablebullet"/>
            </w:pPr>
            <w:r w:rsidRPr="00DA62E8">
              <w:t>Value each other</w:t>
            </w:r>
          </w:p>
        </w:tc>
      </w:tr>
      <w:tr w:rsidR="0046587F" w14:paraId="38C9BD8F" w14:textId="77777777" w:rsidTr="006336F1">
        <w:tc>
          <w:tcPr>
            <w:tcW w:w="1701" w:type="dxa"/>
            <w:vMerge/>
          </w:tcPr>
          <w:p w14:paraId="625BE01F" w14:textId="77777777" w:rsidR="0046587F" w:rsidRDefault="0046587F" w:rsidP="00DA62E8">
            <w:pPr>
              <w:pStyle w:val="Tablenormal0"/>
            </w:pPr>
          </w:p>
        </w:tc>
        <w:tc>
          <w:tcPr>
            <w:tcW w:w="8557" w:type="dxa"/>
          </w:tcPr>
          <w:p w14:paraId="79B1E77D" w14:textId="77777777" w:rsidR="0046587F" w:rsidRPr="005D6013" w:rsidRDefault="0046587F" w:rsidP="00DA62E8">
            <w:pPr>
              <w:pStyle w:val="Heading3"/>
            </w:pPr>
            <w:r w:rsidRPr="005D6013">
              <w:t xml:space="preserve">We take pride in what we do </w:t>
            </w:r>
          </w:p>
          <w:p w14:paraId="390AABA2" w14:textId="77777777" w:rsidR="0046587F" w:rsidRPr="00DA62E8" w:rsidRDefault="0046587F" w:rsidP="00DA62E8">
            <w:pPr>
              <w:pStyle w:val="Tablebullet"/>
            </w:pPr>
            <w:r w:rsidRPr="00DA62E8">
              <w:t>Make a positive difference</w:t>
            </w:r>
          </w:p>
          <w:p w14:paraId="69673E31" w14:textId="77777777" w:rsidR="0046587F" w:rsidRPr="00BF0C5F" w:rsidRDefault="0046587F" w:rsidP="00DA62E8">
            <w:pPr>
              <w:pStyle w:val="Tablebullet"/>
            </w:pPr>
            <w:r w:rsidRPr="00DA62E8">
              <w:t>Strive for excellence</w:t>
            </w:r>
          </w:p>
        </w:tc>
      </w:tr>
    </w:tbl>
    <w:p w14:paraId="2E79F609"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17E07E01" w14:textId="77777777" w:rsidR="00C001F8" w:rsidRDefault="00C001F8" w:rsidP="00C001F8">
      <w:r>
        <w:t xml:space="preserve">Te Aka Taiwhenua – our Māori Strategic Framework – enables us to work effectively with Māori. Te Aka Taiwhenua is underpinned by our </w:t>
      </w:r>
      <w:proofErr w:type="spellStart"/>
      <w:r>
        <w:t>mātāpono</w:t>
      </w:r>
      <w:proofErr w:type="spellEnd"/>
      <w:r>
        <w:t xml:space="preserve"> – Kotahitanga, Manaakitanga, </w:t>
      </w:r>
      <w:proofErr w:type="spellStart"/>
      <w:r>
        <w:t>Whānaungatanga</w:t>
      </w:r>
      <w:proofErr w:type="spellEnd"/>
      <w:r>
        <w:t>, He Tāngata.</w:t>
      </w:r>
    </w:p>
    <w:p w14:paraId="1A4EB1D3" w14:textId="77777777" w:rsidR="00483DEE" w:rsidRDefault="00C001F8" w:rsidP="00A75AA4">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r w:rsidR="00483DEE">
        <w:rPr>
          <w:noProof/>
        </w:rPr>
        <w:t xml:space="preserve">                            </w:t>
      </w:r>
    </w:p>
    <w:p w14:paraId="5808ADBD" w14:textId="77777777" w:rsidR="00483DEE" w:rsidRDefault="00483DEE" w:rsidP="00483DEE">
      <w:pPr>
        <w:pStyle w:val="Tinyline"/>
      </w:pPr>
    </w:p>
    <w:p w14:paraId="5FFE0D71" w14:textId="77777777" w:rsidR="00E67565" w:rsidRPr="00767FB1" w:rsidRDefault="00E67565" w:rsidP="00E67565">
      <w:pPr>
        <w:pStyle w:val="Heading2withoverline"/>
      </w:pPr>
      <w:r>
        <w:t>Spirit of service</w:t>
      </w:r>
    </w:p>
    <w:p w14:paraId="30568377" w14:textId="77777777" w:rsidR="00E67565" w:rsidRPr="00D65CCB" w:rsidRDefault="00E67565" w:rsidP="00E67565">
      <w:pPr>
        <w:spacing w:after="0"/>
        <w:rPr>
          <w:rFonts w:asciiTheme="minorHAnsi" w:eastAsia="Times New Roman" w:hAnsiTheme="minorHAnsi" w:cstheme="minorHAnsi"/>
          <w:bCs/>
          <w:color w:val="2E1459"/>
          <w:lang w:val="en-US" w:eastAsia="en-NZ"/>
        </w:rPr>
      </w:pPr>
      <w:r w:rsidRPr="00D65CCB">
        <w:rPr>
          <w:rFonts w:asciiTheme="minorHAnsi" w:eastAsia="Calibri" w:hAnsiTheme="minorHAnsi" w:cstheme="minorHAnsi"/>
          <w:lang w:eastAsia="en-NZ"/>
        </w:rPr>
        <w:t xml:space="preserve">Ka </w:t>
      </w:r>
      <w:proofErr w:type="spellStart"/>
      <w:r w:rsidRPr="00D65CCB">
        <w:rPr>
          <w:rFonts w:asciiTheme="minorHAnsi" w:eastAsia="Calibri" w:hAnsiTheme="minorHAnsi" w:cstheme="minorHAnsi"/>
          <w:lang w:eastAsia="en-NZ"/>
        </w:rPr>
        <w:t>mahitahi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o te </w:t>
      </w:r>
      <w:proofErr w:type="spellStart"/>
      <w:r w:rsidRPr="00D65CCB">
        <w:rPr>
          <w:rFonts w:asciiTheme="minorHAnsi" w:eastAsia="Calibri" w:hAnsiTheme="minorHAnsi" w:cstheme="minorHAnsi"/>
          <w:lang w:eastAsia="en-NZ"/>
        </w:rPr>
        <w:t>ratonga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tūmatanui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kia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painga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mō</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ngā</w:t>
      </w:r>
      <w:proofErr w:type="spellEnd"/>
      <w:r w:rsidRPr="00D65CCB">
        <w:rPr>
          <w:rFonts w:asciiTheme="minorHAnsi" w:eastAsia="Calibri" w:hAnsiTheme="minorHAnsi" w:cstheme="minorHAnsi"/>
          <w:lang w:eastAsia="en-NZ"/>
        </w:rPr>
        <w:t xml:space="preserve"> tāngata o Aotearoa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āianei</w:t>
      </w:r>
      <w:proofErr w:type="spellEnd"/>
      <w:r w:rsidRPr="00D65CCB">
        <w:rPr>
          <w:rFonts w:asciiTheme="minorHAnsi" w:eastAsia="Calibri" w:hAnsiTheme="minorHAnsi" w:cstheme="minorHAnsi"/>
          <w:lang w:eastAsia="en-NZ"/>
        </w:rPr>
        <w:t xml:space="preserve">, ā,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ngā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rā</w:t>
      </w:r>
      <w:proofErr w:type="spellEnd"/>
      <w:r w:rsidRPr="00D65CCB">
        <w:rPr>
          <w:rFonts w:asciiTheme="minorHAnsi" w:eastAsia="Calibri" w:hAnsiTheme="minorHAnsi" w:cstheme="minorHAnsi"/>
          <w:lang w:eastAsia="en-NZ"/>
        </w:rPr>
        <w:t xml:space="preserve"> ki </w:t>
      </w:r>
      <w:proofErr w:type="spellStart"/>
      <w:r w:rsidRPr="00D65CCB">
        <w:rPr>
          <w:rFonts w:asciiTheme="minorHAnsi" w:eastAsia="Calibri" w:hAnsiTheme="minorHAnsi" w:cstheme="minorHAnsi"/>
          <w:lang w:eastAsia="en-NZ"/>
        </w:rPr>
        <w:t>tua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hoki</w:t>
      </w:r>
      <w:proofErr w:type="spellEnd"/>
      <w:r w:rsidRPr="00D65CCB">
        <w:rPr>
          <w:rFonts w:asciiTheme="minorHAnsi" w:eastAsia="Calibri" w:hAnsiTheme="minorHAnsi" w:cstheme="minorHAnsi"/>
          <w:lang w:eastAsia="en-NZ"/>
        </w:rPr>
        <w:t xml:space="preserve">. He </w:t>
      </w:r>
      <w:proofErr w:type="spellStart"/>
      <w:r w:rsidRPr="00D65CCB">
        <w:rPr>
          <w:rFonts w:asciiTheme="minorHAnsi" w:eastAsia="Calibri" w:hAnsiTheme="minorHAnsi" w:cstheme="minorHAnsi"/>
          <w:lang w:eastAsia="en-NZ"/>
        </w:rPr>
        <w:t>kawenga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tino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whaitake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tautoko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te </w:t>
      </w:r>
      <w:proofErr w:type="spellStart"/>
      <w:r w:rsidRPr="00D65CCB">
        <w:rPr>
          <w:rFonts w:asciiTheme="minorHAnsi" w:eastAsia="Calibri" w:hAnsiTheme="minorHAnsi" w:cstheme="minorHAnsi"/>
          <w:lang w:eastAsia="en-NZ"/>
        </w:rPr>
        <w:t>Karauna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runga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āna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hononga</w:t>
      </w:r>
      <w:proofErr w:type="spellEnd"/>
      <w:r w:rsidRPr="00D65CCB">
        <w:rPr>
          <w:rFonts w:asciiTheme="minorHAnsi" w:eastAsia="Calibri" w:hAnsiTheme="minorHAnsi" w:cstheme="minorHAnsi"/>
          <w:lang w:eastAsia="en-NZ"/>
        </w:rPr>
        <w:t xml:space="preserve"> ki a </w:t>
      </w:r>
      <w:proofErr w:type="spellStart"/>
      <w:r w:rsidRPr="00D65CCB">
        <w:rPr>
          <w:rFonts w:asciiTheme="minorHAnsi" w:eastAsia="Calibri" w:hAnsiTheme="minorHAnsi" w:cstheme="minorHAnsi"/>
          <w:lang w:eastAsia="en-NZ"/>
        </w:rPr>
        <w:t>ngāi</w:t>
      </w:r>
      <w:proofErr w:type="spellEnd"/>
      <w:r w:rsidRPr="00D65CCB">
        <w:rPr>
          <w:rFonts w:asciiTheme="minorHAnsi" w:eastAsia="Calibri" w:hAnsiTheme="minorHAnsi" w:cstheme="minorHAnsi"/>
          <w:lang w:eastAsia="en-NZ"/>
        </w:rPr>
        <w:t xml:space="preserve"> Māori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raro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te Tiriti o Waitangi. Ka </w:t>
      </w:r>
      <w:proofErr w:type="spellStart"/>
      <w:r w:rsidRPr="00D65CCB">
        <w:rPr>
          <w:rFonts w:asciiTheme="minorHAnsi" w:eastAsia="Calibri" w:hAnsiTheme="minorHAnsi" w:cstheme="minorHAnsi"/>
          <w:lang w:eastAsia="en-NZ"/>
        </w:rPr>
        <w:t>tautoko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te </w:t>
      </w:r>
      <w:proofErr w:type="spellStart"/>
      <w:r w:rsidRPr="00D65CCB">
        <w:rPr>
          <w:rFonts w:asciiTheme="minorHAnsi" w:eastAsia="Calibri" w:hAnsiTheme="minorHAnsi" w:cstheme="minorHAnsi"/>
          <w:lang w:eastAsia="en-NZ"/>
        </w:rPr>
        <w:t>kāwanatanga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manapori</w:t>
      </w:r>
      <w:proofErr w:type="spellEnd"/>
      <w:r w:rsidRPr="00D65CCB">
        <w:rPr>
          <w:rFonts w:asciiTheme="minorHAnsi" w:eastAsia="Calibri" w:hAnsiTheme="minorHAnsi" w:cstheme="minorHAnsi"/>
          <w:lang w:eastAsia="en-NZ"/>
        </w:rPr>
        <w:t xml:space="preserve">. Ka </w:t>
      </w:r>
      <w:proofErr w:type="spellStart"/>
      <w:r w:rsidRPr="00D65CCB">
        <w:rPr>
          <w:rFonts w:asciiTheme="minorHAnsi" w:eastAsia="Calibri" w:hAnsiTheme="minorHAnsi" w:cstheme="minorHAnsi"/>
          <w:lang w:eastAsia="en-NZ"/>
        </w:rPr>
        <w:t>whakakotahingia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e te wairua </w:t>
      </w:r>
      <w:proofErr w:type="spellStart"/>
      <w:r w:rsidRPr="00D65CCB">
        <w:rPr>
          <w:rFonts w:asciiTheme="minorHAnsi" w:eastAsia="Calibri" w:hAnsiTheme="minorHAnsi" w:cstheme="minorHAnsi"/>
          <w:lang w:eastAsia="en-NZ"/>
        </w:rPr>
        <w:t>whakarato</w:t>
      </w:r>
      <w:proofErr w:type="spellEnd"/>
      <w:r w:rsidRPr="00D65CCB">
        <w:rPr>
          <w:rFonts w:asciiTheme="minorHAnsi" w:eastAsia="Calibri" w:hAnsiTheme="minorHAnsi" w:cstheme="minorHAnsi"/>
          <w:lang w:eastAsia="en-NZ"/>
        </w:rPr>
        <w:t xml:space="preserve"> </w:t>
      </w:r>
      <w:r w:rsidRPr="00D65CCB">
        <w:rPr>
          <w:rFonts w:asciiTheme="minorHAnsi" w:eastAsia="Calibri" w:hAnsiTheme="minorHAnsi" w:cstheme="minorHAnsi"/>
          <w:color w:val="000000" w:themeColor="text1"/>
          <w:lang w:eastAsia="en-NZ"/>
        </w:rPr>
        <w:t xml:space="preserve">ki </w:t>
      </w:r>
      <w:r w:rsidRPr="00D65CCB">
        <w:rPr>
          <w:rFonts w:asciiTheme="minorHAnsi" w:eastAsia="Times New Roman" w:hAnsiTheme="minorHAnsi" w:cstheme="minorHAnsi"/>
          <w:bCs/>
          <w:color w:val="000000" w:themeColor="text1"/>
          <w:lang w:eastAsia="en-NZ"/>
        </w:rPr>
        <w:t xml:space="preserve">ō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hapori</w:t>
      </w:r>
      <w:proofErr w:type="spellEnd"/>
      <w:r w:rsidRPr="00D65CCB">
        <w:rPr>
          <w:rFonts w:asciiTheme="minorHAnsi" w:eastAsia="Times New Roman" w:hAnsiTheme="minorHAnsi" w:cstheme="minorHAnsi"/>
          <w:bCs/>
          <w:color w:val="000000" w:themeColor="text1"/>
          <w:lang w:eastAsia="en-NZ"/>
        </w:rPr>
        <w:t xml:space="preserve">, ā, e </w:t>
      </w:r>
      <w:proofErr w:type="spellStart"/>
      <w:r w:rsidRPr="00D65CCB">
        <w:rPr>
          <w:rFonts w:asciiTheme="minorHAnsi" w:eastAsia="Times New Roman" w:hAnsiTheme="minorHAnsi" w:cstheme="minorHAnsi"/>
          <w:bCs/>
          <w:color w:val="000000" w:themeColor="text1"/>
          <w:lang w:eastAsia="en-NZ"/>
        </w:rPr>
        <w:t>arahina</w:t>
      </w:r>
      <w:proofErr w:type="spellEnd"/>
      <w:r w:rsidRPr="00D65CCB">
        <w:rPr>
          <w:rFonts w:asciiTheme="minorHAnsi" w:eastAsia="Times New Roman" w:hAnsiTheme="minorHAnsi" w:cstheme="minorHAnsi"/>
          <w:bCs/>
          <w:color w:val="000000" w:themeColor="text1"/>
          <w:lang w:eastAsia="en-NZ"/>
        </w:rPr>
        <w:t xml:space="preserve"> ana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e </w:t>
      </w:r>
      <w:proofErr w:type="spellStart"/>
      <w:r w:rsidRPr="00D65CCB">
        <w:rPr>
          <w:rFonts w:asciiTheme="minorHAnsi" w:eastAsia="Times New Roman" w:hAnsiTheme="minorHAnsi" w:cstheme="minorHAnsi"/>
          <w:bCs/>
          <w:color w:val="000000" w:themeColor="text1"/>
          <w:lang w:eastAsia="en-NZ"/>
        </w:rPr>
        <w:t>ngā</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mātāpono</w:t>
      </w:r>
      <w:proofErr w:type="spellEnd"/>
      <w:r w:rsidRPr="00D65CCB">
        <w:rPr>
          <w:rFonts w:asciiTheme="minorHAnsi" w:eastAsia="Times New Roman" w:hAnsiTheme="minorHAnsi" w:cstheme="minorHAnsi"/>
          <w:bCs/>
          <w:color w:val="000000" w:themeColor="text1"/>
          <w:lang w:eastAsia="en-NZ"/>
        </w:rPr>
        <w:t xml:space="preserve"> me </w:t>
      </w:r>
      <w:proofErr w:type="spellStart"/>
      <w:r w:rsidRPr="00D65CCB">
        <w:rPr>
          <w:rFonts w:asciiTheme="minorHAnsi" w:eastAsia="Times New Roman" w:hAnsiTheme="minorHAnsi" w:cstheme="minorHAnsi"/>
          <w:bCs/>
          <w:color w:val="000000" w:themeColor="text1"/>
          <w:lang w:eastAsia="en-NZ"/>
        </w:rPr>
        <w:t>ngā</w:t>
      </w:r>
      <w:proofErr w:type="spellEnd"/>
      <w:r w:rsidRPr="00D65CCB">
        <w:rPr>
          <w:rFonts w:asciiTheme="minorHAnsi" w:eastAsia="Times New Roman" w:hAnsiTheme="minorHAnsi" w:cstheme="minorHAnsi"/>
          <w:bCs/>
          <w:color w:val="000000" w:themeColor="text1"/>
          <w:lang w:eastAsia="en-NZ"/>
        </w:rPr>
        <w:t xml:space="preserve"> tikanga </w:t>
      </w:r>
      <w:proofErr w:type="spellStart"/>
      <w:r w:rsidRPr="00D65CCB">
        <w:rPr>
          <w:rFonts w:asciiTheme="minorHAnsi" w:eastAsia="Times New Roman" w:hAnsiTheme="minorHAnsi" w:cstheme="minorHAnsi"/>
          <w:bCs/>
          <w:color w:val="000000" w:themeColor="text1"/>
          <w:lang w:eastAsia="en-NZ"/>
        </w:rPr>
        <w:t>matua</w:t>
      </w:r>
      <w:proofErr w:type="spellEnd"/>
      <w:r w:rsidRPr="00D65CCB">
        <w:rPr>
          <w:rFonts w:asciiTheme="minorHAnsi" w:eastAsia="Times New Roman" w:hAnsiTheme="minorHAnsi" w:cstheme="minorHAnsi"/>
          <w:bCs/>
          <w:color w:val="000000" w:themeColor="text1"/>
          <w:lang w:eastAsia="en-NZ"/>
        </w:rPr>
        <w:t xml:space="preserve"> o te </w:t>
      </w:r>
      <w:proofErr w:type="spellStart"/>
      <w:r w:rsidRPr="00D65CCB">
        <w:rPr>
          <w:rFonts w:asciiTheme="minorHAnsi" w:eastAsia="Times New Roman" w:hAnsiTheme="minorHAnsi" w:cstheme="minorHAnsi"/>
          <w:bCs/>
          <w:color w:val="000000" w:themeColor="text1"/>
          <w:lang w:eastAsia="en-NZ"/>
        </w:rPr>
        <w:t>ratonga</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tūmatanui</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i</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roto</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i</w:t>
      </w:r>
      <w:proofErr w:type="spellEnd"/>
      <w:r w:rsidRPr="00D65CCB">
        <w:rPr>
          <w:rFonts w:asciiTheme="minorHAnsi" w:eastAsia="Times New Roman" w:hAnsiTheme="minorHAnsi" w:cstheme="minorHAnsi"/>
          <w:bCs/>
          <w:color w:val="000000" w:themeColor="text1"/>
          <w:lang w:eastAsia="en-NZ"/>
        </w:rPr>
        <w:t xml:space="preserve"> ā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mahi. </w:t>
      </w:r>
    </w:p>
    <w:p w14:paraId="01FE36CA" w14:textId="77777777" w:rsidR="00E67565" w:rsidRPr="00D65CCB" w:rsidRDefault="00E67565" w:rsidP="00E67565">
      <w:pPr>
        <w:spacing w:after="0"/>
        <w:rPr>
          <w:rFonts w:asciiTheme="minorHAnsi" w:eastAsia="Times New Roman" w:hAnsiTheme="minorHAnsi" w:cstheme="minorHAnsi"/>
          <w:bCs/>
          <w:color w:val="2E1459"/>
          <w:lang w:eastAsia="en-NZ"/>
        </w:rPr>
      </w:pPr>
    </w:p>
    <w:p w14:paraId="39DFDD1E" w14:textId="77777777" w:rsidR="00A76720" w:rsidRDefault="00E67565" w:rsidP="00E67565">
      <w:pPr>
        <w:spacing w:after="0"/>
        <w:rPr>
          <w:rFonts w:asciiTheme="minorHAnsi" w:eastAsia="Calibri" w:hAnsiTheme="minorHAnsi" w:cstheme="minorHAnsi"/>
          <w:lang w:eastAsia="en-NZ"/>
        </w:rPr>
      </w:pPr>
      <w:r w:rsidRPr="00D65CCB">
        <w:rPr>
          <w:rFonts w:asciiTheme="minorHAnsi" w:eastAsia="Calibri" w:hAnsiTheme="minorHAnsi" w:cstheme="minorHAnsi"/>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10888C99" w14:textId="04B1F3BA" w:rsidR="00E67565" w:rsidRPr="00D65CCB" w:rsidRDefault="00E67565" w:rsidP="00E67565">
      <w:pPr>
        <w:spacing w:after="0"/>
        <w:rPr>
          <w:rFonts w:asciiTheme="minorHAnsi" w:eastAsia="Calibri" w:hAnsiTheme="minorHAnsi" w:cstheme="minorHAnsi"/>
          <w:lang w:eastAsia="en-NZ"/>
        </w:rPr>
      </w:pPr>
      <w:r w:rsidRPr="00D65CCB">
        <w:rPr>
          <w:rFonts w:asciiTheme="minorHAnsi" w:eastAsia="Calibri" w:hAnsiTheme="minorHAnsi" w:cstheme="minorHAnsi"/>
          <w:lang w:eastAsia="en-NZ"/>
        </w:rPr>
        <w:t xml:space="preserve"> </w:t>
      </w:r>
    </w:p>
    <w:p w14:paraId="55927179" w14:textId="77777777" w:rsidR="00483DEE" w:rsidRDefault="00483DEE" w:rsidP="00DA62E8">
      <w:pPr>
        <w:pStyle w:val="Tinyline"/>
        <w:sectPr w:rsidR="00483DEE" w:rsidSect="00A76720">
          <w:headerReference w:type="default" r:id="rId13"/>
          <w:footerReference w:type="default" r:id="rId14"/>
          <w:headerReference w:type="first" r:id="rId15"/>
          <w:footerReference w:type="first" r:id="rId16"/>
          <w:pgSz w:w="11907" w:h="16840" w:code="9"/>
          <w:pgMar w:top="1134" w:right="1134" w:bottom="992" w:left="1134" w:header="425" w:footer="635" w:gutter="0"/>
          <w:cols w:space="708"/>
          <w:titlePg/>
          <w:docGrid w:linePitch="360"/>
        </w:sectPr>
      </w:pPr>
    </w:p>
    <w:p w14:paraId="6E18007A" w14:textId="77777777" w:rsidR="006713ED" w:rsidRDefault="006713ED" w:rsidP="00DA62E8">
      <w:pPr>
        <w:pStyle w:val="Tinyline"/>
      </w:pPr>
    </w:p>
    <w:p w14:paraId="29D73A23" w14:textId="77777777" w:rsidR="00535DF5" w:rsidRPr="006713ED" w:rsidRDefault="00535DF5" w:rsidP="006713ED">
      <w:pPr>
        <w:pStyle w:val="Tinyline"/>
      </w:pPr>
    </w:p>
    <w:p w14:paraId="69A9268B" w14:textId="77777777" w:rsidR="00A76720" w:rsidRDefault="00A76720" w:rsidP="00BB3B51">
      <w:pPr>
        <w:pStyle w:val="Tableheading"/>
        <w:sectPr w:rsidR="00A76720" w:rsidSect="00E91565">
          <w:type w:val="continuous"/>
          <w:pgSz w:w="11907" w:h="16840" w:code="9"/>
          <w:pgMar w:top="1134" w:right="1134" w:bottom="992" w:left="1134" w:header="425" w:footer="635" w:gutter="0"/>
          <w:cols w:space="708"/>
          <w:docGrid w:linePitch="360"/>
        </w:sectPr>
      </w:pPr>
    </w:p>
    <w:tbl>
      <w:tblPr>
        <w:tblStyle w:val="Blanktable"/>
        <w:tblW w:w="5000" w:type="pct"/>
        <w:tblInd w:w="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379"/>
        <w:gridCol w:w="4244"/>
      </w:tblGrid>
      <w:tr w:rsidR="001C15EE" w:rsidRPr="006B2693" w14:paraId="5B86992D" w14:textId="77777777" w:rsidTr="00F15835">
        <w:trPr>
          <w:cantSplit/>
          <w:tblHeader/>
        </w:trPr>
        <w:tc>
          <w:tcPr>
            <w:tcW w:w="2795" w:type="pct"/>
            <w:tcBorders>
              <w:bottom w:val="nil"/>
              <w:right w:val="single" w:sz="6" w:space="0" w:color="FFFFFF" w:themeColor="background1"/>
            </w:tcBorders>
            <w:shd w:val="clear" w:color="auto" w:fill="1F546B" w:themeFill="text2"/>
          </w:tcPr>
          <w:p w14:paraId="40DE2742" w14:textId="615A8B91"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2205" w:type="pct"/>
            <w:tcBorders>
              <w:left w:val="single" w:sz="6" w:space="0" w:color="FFFFFF" w:themeColor="background1"/>
              <w:bottom w:val="nil"/>
            </w:tcBorders>
            <w:shd w:val="clear" w:color="auto" w:fill="1F546B" w:themeFill="text2"/>
          </w:tcPr>
          <w:p w14:paraId="2594E0F3"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37EC7CE2" w14:textId="77777777" w:rsidTr="00F15835">
        <w:tc>
          <w:tcPr>
            <w:tcW w:w="2795" w:type="pct"/>
            <w:tcBorders>
              <w:top w:val="nil"/>
              <w:left w:val="nil"/>
              <w:bottom w:val="single" w:sz="6" w:space="0" w:color="1F546B" w:themeColor="text2"/>
              <w:right w:val="single" w:sz="6" w:space="0" w:color="1F546B" w:themeColor="text2"/>
            </w:tcBorders>
          </w:tcPr>
          <w:p w14:paraId="55AF3773" w14:textId="77777777" w:rsidR="00343F23" w:rsidRDefault="00343F23" w:rsidP="00343F23">
            <w:pPr>
              <w:rPr>
                <w:b/>
                <w:szCs w:val="22"/>
              </w:rPr>
            </w:pPr>
            <w:r>
              <w:rPr>
                <w:b/>
                <w:szCs w:val="22"/>
              </w:rPr>
              <w:t>Strategic Leadership and Risk Advice</w:t>
            </w:r>
          </w:p>
          <w:p w14:paraId="3DEF2A64" w14:textId="42981274" w:rsidR="00343F23" w:rsidRPr="00343F23" w:rsidRDefault="00343F23" w:rsidP="0077037D">
            <w:pPr>
              <w:pStyle w:val="Tablebullet"/>
            </w:pPr>
            <w:r>
              <w:t>Provide strategic, professional and thought leadership to support ELT to appropriately assess risk in relation to setting and successfully implementing strategy across the Department.</w:t>
            </w:r>
            <w:r w:rsidR="0077037D">
              <w:t xml:space="preserve"> </w:t>
            </w:r>
          </w:p>
          <w:p w14:paraId="45DF7FB5" w14:textId="77777777" w:rsidR="005B2023" w:rsidRDefault="005B2023" w:rsidP="00343F23">
            <w:pPr>
              <w:pStyle w:val="Tablebullet"/>
            </w:pPr>
            <w:r w:rsidRPr="00343F23">
              <w:t xml:space="preserve">Provide advice to the Department’s governance committees, including </w:t>
            </w:r>
            <w:r>
              <w:t xml:space="preserve">providing </w:t>
            </w:r>
            <w:r w:rsidRPr="00343F23">
              <w:t>specialist advi</w:t>
            </w:r>
            <w:r>
              <w:t xml:space="preserve">ce to </w:t>
            </w:r>
            <w:r w:rsidRPr="00343F23">
              <w:t>the Risk &amp; Assurance Governance Committee</w:t>
            </w:r>
            <w:r>
              <w:t>.</w:t>
            </w:r>
          </w:p>
          <w:p w14:paraId="5999C470" w14:textId="1D7E83B3" w:rsidR="00343F23" w:rsidRPr="00343F23" w:rsidRDefault="0077037D" w:rsidP="00343F23">
            <w:pPr>
              <w:pStyle w:val="Tablebullet"/>
            </w:pPr>
            <w:r>
              <w:t>P</w:t>
            </w:r>
            <w:r w:rsidRPr="00343F23">
              <w:t>roactively engage</w:t>
            </w:r>
            <w:r w:rsidDel="005B2023">
              <w:t xml:space="preserve"> </w:t>
            </w:r>
            <w:r>
              <w:t xml:space="preserve">with </w:t>
            </w:r>
            <w:r w:rsidR="00343F23" w:rsidRPr="00343F23">
              <w:t xml:space="preserve">branch leadership teams </w:t>
            </w:r>
            <w:r>
              <w:t xml:space="preserve">to </w:t>
            </w:r>
            <w:r w:rsidR="00343F23" w:rsidRPr="00343F23">
              <w:t xml:space="preserve">develop the </w:t>
            </w:r>
            <w:r>
              <w:t xml:space="preserve">Department’s </w:t>
            </w:r>
            <w:r w:rsidR="00343F23" w:rsidRPr="00343F23">
              <w:t>strategic risk framework and the practices and processes necessary to successfully implement that framework.</w:t>
            </w:r>
            <w:r w:rsidR="005E252A">
              <w:t xml:space="preserve"> </w:t>
            </w:r>
          </w:p>
          <w:p w14:paraId="1C82FDAA" w14:textId="77777777" w:rsidR="005E252A" w:rsidRPr="00343F23" w:rsidRDefault="005E252A" w:rsidP="005E252A">
            <w:pPr>
              <w:pStyle w:val="Tablebullet"/>
            </w:pPr>
            <w:r w:rsidRPr="00343F23">
              <w:t>Provide strategic advice on departmental processes to ensure responses to organisational risk are effectively implemented.</w:t>
            </w:r>
          </w:p>
          <w:p w14:paraId="7B11D89F" w14:textId="77777777" w:rsidR="00343F23" w:rsidRPr="00343F23" w:rsidRDefault="00343F23" w:rsidP="00343F23">
            <w:pPr>
              <w:pStyle w:val="Tablebullet"/>
            </w:pPr>
            <w:r w:rsidRPr="00343F23">
              <w:t>Develop and implement strategies to promote and enhance the capabilities of managers across the Department, ensuring branches have an up-to-date understanding of their obligations for managing risk and risk practices are effectively embedded within the business.</w:t>
            </w:r>
          </w:p>
          <w:p w14:paraId="76B04717" w14:textId="39F94A09" w:rsidR="003D175D" w:rsidRPr="003D175D" w:rsidRDefault="005B2023" w:rsidP="0077037D">
            <w:pPr>
              <w:pStyle w:val="Tablebullet"/>
            </w:pPr>
            <w:r>
              <w:t>Develop</w:t>
            </w:r>
            <w:r w:rsidRPr="00E72812">
              <w:t xml:space="preserve"> the operating model in relation to risk identification and management across the Department</w:t>
            </w:r>
            <w:r>
              <w:t>.</w:t>
            </w:r>
          </w:p>
        </w:tc>
        <w:tc>
          <w:tcPr>
            <w:tcW w:w="2205" w:type="pct"/>
            <w:tcBorders>
              <w:top w:val="nil"/>
              <w:left w:val="single" w:sz="6" w:space="0" w:color="1F546B" w:themeColor="text2"/>
              <w:bottom w:val="single" w:sz="6" w:space="0" w:color="1F546B" w:themeColor="text2"/>
              <w:right w:val="nil"/>
            </w:tcBorders>
          </w:tcPr>
          <w:p w14:paraId="63A43CF5" w14:textId="51E0B98D" w:rsidR="00343F23" w:rsidRPr="00751DF7" w:rsidRDefault="00343F23" w:rsidP="00343F23">
            <w:pPr>
              <w:pStyle w:val="Tablebullet"/>
              <w:spacing w:before="120"/>
            </w:pPr>
            <w:r>
              <w:rPr>
                <w:szCs w:val="22"/>
              </w:rPr>
              <w:t xml:space="preserve">A robust enterprise </w:t>
            </w:r>
            <w:r w:rsidRPr="00DE1888">
              <w:rPr>
                <w:szCs w:val="22"/>
              </w:rPr>
              <w:t>risk management framework</w:t>
            </w:r>
            <w:r>
              <w:rPr>
                <w:szCs w:val="22"/>
              </w:rPr>
              <w:t xml:space="preserve"> is in place</w:t>
            </w:r>
            <w:r w:rsidRPr="00DE1888">
              <w:rPr>
                <w:szCs w:val="22"/>
              </w:rPr>
              <w:t xml:space="preserve">, </w:t>
            </w:r>
            <w:r>
              <w:rPr>
                <w:szCs w:val="22"/>
              </w:rPr>
              <w:t xml:space="preserve">together with the capability, </w:t>
            </w:r>
            <w:r w:rsidRPr="00DE1888">
              <w:rPr>
                <w:szCs w:val="22"/>
              </w:rPr>
              <w:t xml:space="preserve">practices and processes </w:t>
            </w:r>
            <w:r>
              <w:rPr>
                <w:szCs w:val="22"/>
              </w:rPr>
              <w:t>to effectively maintain that framework</w:t>
            </w:r>
            <w:r w:rsidR="00016043">
              <w:rPr>
                <w:szCs w:val="22"/>
              </w:rPr>
              <w:t>.</w:t>
            </w:r>
          </w:p>
          <w:p w14:paraId="2EC369BB" w14:textId="43CB9C78" w:rsidR="00343F23" w:rsidRPr="00751DF7" w:rsidRDefault="00343F23" w:rsidP="00343F23">
            <w:pPr>
              <w:pStyle w:val="Tablebullet"/>
              <w:spacing w:before="120"/>
            </w:pPr>
            <w:r>
              <w:rPr>
                <w:szCs w:val="22"/>
              </w:rPr>
              <w:t xml:space="preserve">ELT understanding the Department’s risk profile and </w:t>
            </w:r>
            <w:r w:rsidRPr="00647B67">
              <w:rPr>
                <w:szCs w:val="22"/>
              </w:rPr>
              <w:t xml:space="preserve">tolerance </w:t>
            </w:r>
            <w:r>
              <w:rPr>
                <w:szCs w:val="22"/>
              </w:rPr>
              <w:t>for risk and engaging in robust strategic risk conversations on a regular basis</w:t>
            </w:r>
            <w:r w:rsidR="00016043">
              <w:rPr>
                <w:szCs w:val="22"/>
              </w:rPr>
              <w:t>.</w:t>
            </w:r>
          </w:p>
          <w:p w14:paraId="19BC05E6" w14:textId="753E92BD" w:rsidR="00343F23" w:rsidRPr="00751DF7" w:rsidRDefault="00343F23" w:rsidP="00343F23">
            <w:pPr>
              <w:pStyle w:val="Tablebullet"/>
              <w:spacing w:before="120"/>
            </w:pPr>
            <w:r>
              <w:rPr>
                <w:szCs w:val="22"/>
              </w:rPr>
              <w:t xml:space="preserve">ELT provided </w:t>
            </w:r>
            <w:r>
              <w:t xml:space="preserve">with the right risk </w:t>
            </w:r>
            <w:r w:rsidRPr="00751DF7">
              <w:rPr>
                <w:szCs w:val="22"/>
              </w:rPr>
              <w:t>informa</w:t>
            </w:r>
            <w:r>
              <w:rPr>
                <w:szCs w:val="22"/>
              </w:rPr>
              <w:t>tion and analysis to support their</w:t>
            </w:r>
            <w:r w:rsidRPr="00751DF7">
              <w:rPr>
                <w:szCs w:val="22"/>
              </w:rPr>
              <w:t xml:space="preserve"> decision making</w:t>
            </w:r>
            <w:r w:rsidR="00016043">
              <w:rPr>
                <w:szCs w:val="22"/>
              </w:rPr>
              <w:t>.</w:t>
            </w:r>
          </w:p>
          <w:p w14:paraId="5D3B0FA9" w14:textId="77777777" w:rsidR="00343F23" w:rsidRDefault="00343F23" w:rsidP="00343F23">
            <w:pPr>
              <w:pStyle w:val="Tablebullet"/>
              <w:spacing w:before="120"/>
            </w:pPr>
            <w:r>
              <w:rPr>
                <w:szCs w:val="22"/>
              </w:rPr>
              <w:t xml:space="preserve">Thought leadership provided in relation to risk across the department </w:t>
            </w:r>
            <w:r w:rsidRPr="00647B67">
              <w:rPr>
                <w:szCs w:val="22"/>
              </w:rPr>
              <w:t>and lead</w:t>
            </w:r>
            <w:r>
              <w:rPr>
                <w:szCs w:val="22"/>
              </w:rPr>
              <w:t>ership of</w:t>
            </w:r>
            <w:r w:rsidRPr="00647B67">
              <w:rPr>
                <w:szCs w:val="22"/>
              </w:rPr>
              <w:t xml:space="preserve"> </w:t>
            </w:r>
            <w:r>
              <w:rPr>
                <w:szCs w:val="22"/>
              </w:rPr>
              <w:t>whole of department</w:t>
            </w:r>
            <w:r w:rsidRPr="00647B67">
              <w:rPr>
                <w:szCs w:val="22"/>
              </w:rPr>
              <w:t xml:space="preserve"> </w:t>
            </w:r>
            <w:r>
              <w:rPr>
                <w:szCs w:val="22"/>
              </w:rPr>
              <w:t>processes to ensure organisational risk is effectively managed, evaluated and monitored.</w:t>
            </w:r>
          </w:p>
          <w:p w14:paraId="3DD4AEB2" w14:textId="7C90531E" w:rsidR="00343F23" w:rsidRDefault="00343F23" w:rsidP="00343F23">
            <w:pPr>
              <w:pStyle w:val="Tablebullet"/>
              <w:spacing w:before="120"/>
            </w:pPr>
            <w:r>
              <w:t>Increased visibility and value of the risk function in the Department</w:t>
            </w:r>
            <w:r w:rsidR="00016043">
              <w:t>.</w:t>
            </w:r>
          </w:p>
          <w:p w14:paraId="233EB683" w14:textId="47D1ACD8" w:rsidR="003D175D" w:rsidRPr="003D175D" w:rsidRDefault="00343F23" w:rsidP="00343F23">
            <w:pPr>
              <w:pStyle w:val="Tablebullet"/>
              <w:spacing w:before="120"/>
            </w:pPr>
            <w:r>
              <w:t>Leaders in the Department understanding risk and why it is valuable and are using it to manage and lead the business</w:t>
            </w:r>
            <w:r w:rsidR="00016043">
              <w:t>.</w:t>
            </w:r>
          </w:p>
        </w:tc>
      </w:tr>
      <w:tr w:rsidR="00605BDC" w:rsidRPr="003D175D" w14:paraId="525D7B60" w14:textId="77777777" w:rsidTr="00F15835">
        <w:tc>
          <w:tcPr>
            <w:tcW w:w="2795" w:type="pct"/>
            <w:tcBorders>
              <w:top w:val="nil"/>
              <w:left w:val="nil"/>
              <w:bottom w:val="single" w:sz="6" w:space="0" w:color="1F546B" w:themeColor="text2"/>
              <w:right w:val="single" w:sz="6" w:space="0" w:color="1F546B" w:themeColor="text2"/>
            </w:tcBorders>
          </w:tcPr>
          <w:p w14:paraId="569B49B1" w14:textId="77777777" w:rsidR="00605BDC" w:rsidRPr="006D38FB" w:rsidRDefault="00605BDC" w:rsidP="00F15835">
            <w:pPr>
              <w:widowControl w:val="0"/>
              <w:rPr>
                <w:b/>
              </w:rPr>
            </w:pPr>
            <w:r>
              <w:rPr>
                <w:b/>
              </w:rPr>
              <w:t xml:space="preserve">Effectiveness of Organisational Risk Management </w:t>
            </w:r>
          </w:p>
          <w:p w14:paraId="7FEE14F4" w14:textId="79B6B408" w:rsidR="0077037D" w:rsidRPr="00F15835" w:rsidRDefault="0092287F" w:rsidP="0077037D">
            <w:pPr>
              <w:pStyle w:val="Tablebullet"/>
            </w:pPr>
            <w:r w:rsidRPr="00F15835">
              <w:t xml:space="preserve">Actively promote </w:t>
            </w:r>
            <w:r w:rsidR="0077037D" w:rsidRPr="00F15835">
              <w:t xml:space="preserve">continuous improvement in the maturity of the Department’s risk management system and practice.  </w:t>
            </w:r>
          </w:p>
          <w:p w14:paraId="663BF39A" w14:textId="67200CF5" w:rsidR="00C702F5" w:rsidRPr="000175CC" w:rsidRDefault="00C702F5" w:rsidP="00C702F5">
            <w:pPr>
              <w:pStyle w:val="Tablebullet"/>
              <w:widowControl w:val="0"/>
            </w:pPr>
            <w:r>
              <w:t xml:space="preserve">Ensure frameworks and methodologies for risk identification and assessment are maintained and regularly assessed for appropriateness and improvement.   </w:t>
            </w:r>
          </w:p>
          <w:p w14:paraId="1E66DDB9" w14:textId="5456CF43" w:rsidR="00605BDC" w:rsidRPr="001B558E" w:rsidRDefault="00605BDC" w:rsidP="00F15835">
            <w:pPr>
              <w:pStyle w:val="Tablebullet"/>
              <w:widowControl w:val="0"/>
            </w:pPr>
            <w:r>
              <w:t>Work</w:t>
            </w:r>
            <w:r w:rsidRPr="001B558E">
              <w:t xml:space="preserve"> collaboratively </w:t>
            </w:r>
            <w:r w:rsidR="00C702F5">
              <w:t xml:space="preserve">with others </w:t>
            </w:r>
            <w:r w:rsidRPr="001B558E">
              <w:t>to achieve successful integration of risk management principles into culture, strategies, policies, systems and processes of the organisation.</w:t>
            </w:r>
          </w:p>
          <w:p w14:paraId="306B16F7" w14:textId="77777777" w:rsidR="00605BDC" w:rsidRPr="003D175D" w:rsidRDefault="00605BDC" w:rsidP="00F15835">
            <w:pPr>
              <w:pStyle w:val="Tablebullet"/>
              <w:widowControl w:val="0"/>
            </w:pPr>
            <w:r>
              <w:t>Lead and develop, together with the Senior Advisor Risk Management, a programme of work that enables the ELT to be assured that the organisation is covering all areas of the risk management framework and taking a comprehensive and appropriate approach to risk management and management of business risk.</w:t>
            </w:r>
          </w:p>
        </w:tc>
        <w:tc>
          <w:tcPr>
            <w:tcW w:w="2205" w:type="pct"/>
            <w:tcBorders>
              <w:top w:val="nil"/>
              <w:left w:val="single" w:sz="6" w:space="0" w:color="1F546B" w:themeColor="text2"/>
              <w:bottom w:val="single" w:sz="6" w:space="0" w:color="1F546B" w:themeColor="text2"/>
              <w:right w:val="nil"/>
            </w:tcBorders>
          </w:tcPr>
          <w:p w14:paraId="175CD162" w14:textId="77777777" w:rsidR="00605BDC" w:rsidRDefault="00605BDC" w:rsidP="00F15835">
            <w:pPr>
              <w:pStyle w:val="Tablebullet"/>
              <w:widowControl w:val="0"/>
              <w:spacing w:before="120"/>
            </w:pPr>
            <w:r>
              <w:t xml:space="preserve">Organisational risk is </w:t>
            </w:r>
            <w:r>
              <w:rPr>
                <w:rFonts w:cs="Arial"/>
                <w:szCs w:val="22"/>
              </w:rPr>
              <w:t>integrated</w:t>
            </w:r>
            <w:r w:rsidRPr="001B558E">
              <w:rPr>
                <w:rFonts w:cs="Arial"/>
                <w:szCs w:val="22"/>
              </w:rPr>
              <w:t xml:space="preserve"> into </w:t>
            </w:r>
            <w:r>
              <w:rPr>
                <w:rFonts w:cs="Arial"/>
                <w:szCs w:val="22"/>
              </w:rPr>
              <w:t xml:space="preserve">the </w:t>
            </w:r>
            <w:r w:rsidRPr="001B558E">
              <w:rPr>
                <w:rFonts w:cs="Arial"/>
                <w:szCs w:val="22"/>
              </w:rPr>
              <w:t>culture, strategies, policies, systems and processes of the organisation</w:t>
            </w:r>
            <w:r>
              <w:rPr>
                <w:rFonts w:cs="Arial"/>
                <w:szCs w:val="22"/>
              </w:rPr>
              <w:t>.</w:t>
            </w:r>
          </w:p>
          <w:p w14:paraId="2A179889" w14:textId="77777777" w:rsidR="005E252A" w:rsidRDefault="00605BDC" w:rsidP="00F15835">
            <w:pPr>
              <w:pStyle w:val="Tablebullet"/>
              <w:widowControl w:val="0"/>
              <w:spacing w:before="120"/>
            </w:pPr>
            <w:r>
              <w:t xml:space="preserve">Organisational risk is effectively managed, evaluated and monitored. </w:t>
            </w:r>
          </w:p>
          <w:p w14:paraId="5ED9534C" w14:textId="0ECB58BA" w:rsidR="00605BDC" w:rsidRPr="003D175D" w:rsidRDefault="005E252A" w:rsidP="00F15835">
            <w:pPr>
              <w:pStyle w:val="Tablebullet"/>
              <w:widowControl w:val="0"/>
              <w:spacing w:before="120"/>
            </w:pPr>
            <w:r>
              <w:t>Current thinking on risks, and the effectiveness of mitigations, is appropriately challenged.</w:t>
            </w:r>
          </w:p>
        </w:tc>
      </w:tr>
      <w:tr w:rsidR="003D175D" w:rsidRPr="003D175D" w14:paraId="77F79890" w14:textId="77777777" w:rsidTr="00F15835">
        <w:tc>
          <w:tcPr>
            <w:tcW w:w="2795" w:type="pct"/>
            <w:tcBorders>
              <w:top w:val="nil"/>
              <w:left w:val="nil"/>
              <w:bottom w:val="single" w:sz="6" w:space="0" w:color="1F546B" w:themeColor="text2"/>
              <w:right w:val="single" w:sz="6" w:space="0" w:color="1F546B" w:themeColor="text2"/>
            </w:tcBorders>
          </w:tcPr>
          <w:p w14:paraId="067FB3E9" w14:textId="77777777" w:rsidR="00343F23" w:rsidRPr="00584E33" w:rsidRDefault="00343F23" w:rsidP="00E91565">
            <w:pPr>
              <w:widowControl w:val="0"/>
              <w:spacing w:after="0" w:line="276" w:lineRule="auto"/>
              <w:rPr>
                <w:szCs w:val="22"/>
              </w:rPr>
            </w:pPr>
            <w:r>
              <w:rPr>
                <w:b/>
                <w:szCs w:val="22"/>
              </w:rPr>
              <w:lastRenderedPageBreak/>
              <w:t xml:space="preserve">Stakeholder Engagement </w:t>
            </w:r>
          </w:p>
          <w:p w14:paraId="6C25A1E5" w14:textId="4EB78E94" w:rsidR="00343F23" w:rsidRDefault="00343F23" w:rsidP="00E91565">
            <w:pPr>
              <w:pStyle w:val="Tablebullet"/>
              <w:widowControl w:val="0"/>
            </w:pPr>
            <w:r>
              <w:t xml:space="preserve">Develop and provide advice and maintain </w:t>
            </w:r>
            <w:r w:rsidR="00DD4330">
              <w:t>effective</w:t>
            </w:r>
            <w:r>
              <w:t xml:space="preserve"> relationship</w:t>
            </w:r>
            <w:r w:rsidR="00DD4330">
              <w:t>s</w:t>
            </w:r>
            <w:r>
              <w:t xml:space="preserve"> with the Chief Executive, DCEs and Branch Leadership Teams to understand business requirements, priorities and programmes of work across the Department.</w:t>
            </w:r>
          </w:p>
          <w:p w14:paraId="7AC0CD7E" w14:textId="77777777" w:rsidR="00343F23" w:rsidRDefault="00343F23" w:rsidP="00E91565">
            <w:pPr>
              <w:pStyle w:val="Tablebullet"/>
              <w:widowControl w:val="0"/>
            </w:pPr>
            <w:r>
              <w:t>Proactively engage</w:t>
            </w:r>
            <w:r w:rsidRPr="00D8793A">
              <w:t xml:space="preserve"> and</w:t>
            </w:r>
            <w:r w:rsidRPr="00343F23">
              <w:t xml:space="preserve"> </w:t>
            </w:r>
            <w:r>
              <w:t xml:space="preserve">develop strategic partnerships with branches to enhance the level of understanding of roles and </w:t>
            </w:r>
            <w:r w:rsidR="00556A5C">
              <w:t>priorities and</w:t>
            </w:r>
            <w:r>
              <w:t xml:space="preserve"> enable the effective delivery of advice that supports decision making by the Department.</w:t>
            </w:r>
          </w:p>
          <w:p w14:paraId="5AA8146E" w14:textId="4A6B3F32" w:rsidR="00343F23" w:rsidRDefault="00343F23" w:rsidP="00E91565">
            <w:pPr>
              <w:pStyle w:val="Tablebullet"/>
              <w:widowControl w:val="0"/>
            </w:pPr>
            <w:r>
              <w:t>Work closely with managers to identify and communicate gaps and risks in operational processes, policies and practices and recommend solutions</w:t>
            </w:r>
            <w:r w:rsidR="00016043">
              <w:t>.</w:t>
            </w:r>
          </w:p>
          <w:p w14:paraId="7D24B2E6" w14:textId="3D44F66D" w:rsidR="00343F23" w:rsidRDefault="00DD4330" w:rsidP="00DD4330">
            <w:pPr>
              <w:pStyle w:val="Tablebullet"/>
              <w:widowControl w:val="0"/>
            </w:pPr>
            <w:r>
              <w:t>Build effective relationships with other corporate</w:t>
            </w:r>
            <w:r w:rsidR="00AD0576">
              <w:t xml:space="preserve"> </w:t>
            </w:r>
            <w:r>
              <w:t>functions, including our Enterprise Programme Management Office (EPMO) and the Strategy and Planning function to</w:t>
            </w:r>
            <w:r w:rsidR="00AD0576">
              <w:t xml:space="preserve"> enable and</w:t>
            </w:r>
            <w:r>
              <w:t xml:space="preserve"> </w:t>
            </w:r>
            <w:r w:rsidR="00343F23">
              <w:t xml:space="preserve">support the successful integration of risk management principles </w:t>
            </w:r>
            <w:r>
              <w:t xml:space="preserve">and practices </w:t>
            </w:r>
            <w:r w:rsidR="00343F23">
              <w:t xml:space="preserve">into </w:t>
            </w:r>
            <w:r>
              <w:t>t</w:t>
            </w:r>
            <w:r w:rsidR="00AD0576">
              <w:t xml:space="preserve">he </w:t>
            </w:r>
            <w:r w:rsidR="00343F23">
              <w:t>Department’s key strategies</w:t>
            </w:r>
            <w:r w:rsidR="000C4973">
              <w:t>, programmes</w:t>
            </w:r>
            <w:r w:rsidR="00343F23">
              <w:t xml:space="preserve"> and investment plans.</w:t>
            </w:r>
          </w:p>
          <w:p w14:paraId="4FF1555B" w14:textId="0F643097" w:rsidR="00AD0576" w:rsidRDefault="00AD0576" w:rsidP="00E91565">
            <w:pPr>
              <w:pStyle w:val="Tablebullet"/>
              <w:widowControl w:val="0"/>
            </w:pPr>
            <w:r>
              <w:t>Facilitate and encourage information-sharing with other government agencies around good practice for public sector risk management</w:t>
            </w:r>
            <w:r w:rsidR="00016043">
              <w:t>.</w:t>
            </w:r>
          </w:p>
          <w:p w14:paraId="2C353948" w14:textId="11A8D904" w:rsidR="003D175D" w:rsidRPr="003D175D" w:rsidRDefault="00AD0576" w:rsidP="00AD0576">
            <w:pPr>
              <w:pStyle w:val="Tablebullet"/>
              <w:widowControl w:val="0"/>
            </w:pPr>
            <w:r w:rsidRPr="00343F23">
              <w:t>Maintain close relationships with peers, colleagues and external professional networks around good practice for public sector risk management and utilise learnings to lift practice and capability</w:t>
            </w:r>
            <w:r w:rsidR="00016043">
              <w:t>.</w:t>
            </w:r>
          </w:p>
        </w:tc>
        <w:tc>
          <w:tcPr>
            <w:tcW w:w="2205" w:type="pct"/>
            <w:tcBorders>
              <w:top w:val="nil"/>
              <w:left w:val="single" w:sz="6" w:space="0" w:color="1F546B" w:themeColor="text2"/>
              <w:bottom w:val="single" w:sz="6" w:space="0" w:color="1F546B" w:themeColor="text2"/>
              <w:right w:val="nil"/>
            </w:tcBorders>
          </w:tcPr>
          <w:p w14:paraId="44EC73F9" w14:textId="77777777" w:rsidR="003D175D" w:rsidRDefault="00343F23" w:rsidP="00E91565">
            <w:pPr>
              <w:pStyle w:val="Tablebullet"/>
              <w:widowControl w:val="0"/>
            </w:pPr>
            <w:r>
              <w:t>Strong, collaborative and productive relationships developed across the Department and with external agencies and professional bodies that enhance culture and practice within DIA and assist in meeting business objectives</w:t>
            </w:r>
            <w:r w:rsidR="00016043">
              <w:t>.</w:t>
            </w:r>
          </w:p>
          <w:p w14:paraId="10E33868" w14:textId="60F1355E" w:rsidR="00C702F5" w:rsidRPr="003D175D" w:rsidRDefault="00C702F5" w:rsidP="00E91565">
            <w:pPr>
              <w:pStyle w:val="Tablebullet"/>
              <w:widowControl w:val="0"/>
            </w:pPr>
          </w:p>
        </w:tc>
      </w:tr>
      <w:tr w:rsidR="00343F23" w:rsidRPr="003D175D" w14:paraId="171A3D92" w14:textId="77777777" w:rsidTr="00F15835">
        <w:tc>
          <w:tcPr>
            <w:tcW w:w="2795" w:type="pct"/>
            <w:tcBorders>
              <w:top w:val="nil"/>
              <w:left w:val="nil"/>
              <w:bottom w:val="single" w:sz="4" w:space="0" w:color="auto"/>
              <w:right w:val="single" w:sz="6" w:space="0" w:color="1F546B" w:themeColor="text2"/>
            </w:tcBorders>
          </w:tcPr>
          <w:p w14:paraId="19E158F9" w14:textId="77777777" w:rsidR="00343F23" w:rsidRDefault="00343F23" w:rsidP="00343F23">
            <w:pPr>
              <w:pStyle w:val="Tablebullet"/>
              <w:numPr>
                <w:ilvl w:val="0"/>
                <w:numId w:val="0"/>
              </w:numPr>
              <w:rPr>
                <w:b/>
              </w:rPr>
            </w:pPr>
            <w:r>
              <w:rPr>
                <w:b/>
              </w:rPr>
              <w:t>People Leadership &amp; Capability Building</w:t>
            </w:r>
          </w:p>
          <w:p w14:paraId="751EF7A9" w14:textId="6693BDC6" w:rsidR="00343F23" w:rsidRPr="006709DC" w:rsidRDefault="00343F23" w:rsidP="00E411CA">
            <w:pPr>
              <w:pStyle w:val="Tablebullet"/>
            </w:pPr>
            <w:r>
              <w:t>Recruit, l</w:t>
            </w:r>
            <w:r w:rsidRPr="006709DC">
              <w:t xml:space="preserve">ead </w:t>
            </w:r>
            <w:r>
              <w:t>and manage high performing staff</w:t>
            </w:r>
            <w:r w:rsidRPr="006709DC">
              <w:t xml:space="preserve"> </w:t>
            </w:r>
            <w:r>
              <w:t>including maintaining the appropriate mix of skills and specialisations</w:t>
            </w:r>
            <w:r w:rsidR="00016043">
              <w:t>.</w:t>
            </w:r>
          </w:p>
          <w:p w14:paraId="6F4709D7" w14:textId="7448E55B" w:rsidR="00E411CA" w:rsidRDefault="00E411CA" w:rsidP="00E411CA">
            <w:pPr>
              <w:pStyle w:val="Tablebullet"/>
              <w:rPr>
                <w:rFonts w:eastAsia="Calibri"/>
                <w:lang w:eastAsia="en-NZ"/>
              </w:rPr>
            </w:pPr>
            <w:r>
              <w:t xml:space="preserve">Coaching and mentoring DIA staff on risk management and advisory practices and peer review </w:t>
            </w:r>
            <w:r w:rsidR="002D6C3C">
              <w:t>deliverables</w:t>
            </w:r>
            <w:r>
              <w:t xml:space="preserve"> as necessary to assure the quality</w:t>
            </w:r>
            <w:r w:rsidR="002D6C3C">
              <w:t xml:space="preserve"> of work</w:t>
            </w:r>
            <w:r>
              <w:t xml:space="preserve">. </w:t>
            </w:r>
          </w:p>
          <w:p w14:paraId="400FF8DE" w14:textId="549E9E6F" w:rsidR="00343F23" w:rsidRDefault="00343F23" w:rsidP="00E411CA">
            <w:pPr>
              <w:pStyle w:val="Tablebullet"/>
            </w:pPr>
            <w:r>
              <w:t xml:space="preserve">Ensure, </w:t>
            </w:r>
            <w:r>
              <w:rPr>
                <w:lang w:eastAsia="en-NZ"/>
              </w:rPr>
              <w:t xml:space="preserve">through coaching and mentoring </w:t>
            </w:r>
            <w:r>
              <w:t xml:space="preserve">the </w:t>
            </w:r>
            <w:r w:rsidRPr="006709DC">
              <w:t>develop</w:t>
            </w:r>
            <w:r>
              <w:t>ment of staff</w:t>
            </w:r>
            <w:r w:rsidRPr="006709DC">
              <w:t xml:space="preserve"> and ensure strategically aligned development plans are in place for all staff to maintain and build the intellectual capability</w:t>
            </w:r>
            <w:r w:rsidR="00016043">
              <w:t>.</w:t>
            </w:r>
          </w:p>
          <w:p w14:paraId="3FCB3AD5" w14:textId="6D4F9A48" w:rsidR="00343F23" w:rsidRPr="00D26F52" w:rsidRDefault="00343F23" w:rsidP="00E411CA">
            <w:pPr>
              <w:pStyle w:val="Tablebullet"/>
              <w:rPr>
                <w:rFonts w:eastAsia="Calibri"/>
              </w:rPr>
            </w:pPr>
            <w:r>
              <w:lastRenderedPageBreak/>
              <w:t>M</w:t>
            </w:r>
            <w:r w:rsidRPr="00D26F52">
              <w:t>aintain technical oversight of staff to ensure they meet professional standards and requirements</w:t>
            </w:r>
            <w:r w:rsidR="00016043">
              <w:t>.</w:t>
            </w:r>
          </w:p>
          <w:p w14:paraId="729CE394" w14:textId="21DEAF79" w:rsidR="00343F23" w:rsidRPr="006709DC" w:rsidRDefault="00343F23" w:rsidP="00E411CA">
            <w:pPr>
              <w:pStyle w:val="Tablebullet"/>
            </w:pPr>
            <w:r>
              <w:t>M</w:t>
            </w:r>
            <w:r w:rsidRPr="006709DC">
              <w:t>anage and drive continuous performance improvement outcomes</w:t>
            </w:r>
            <w:r w:rsidR="00016043">
              <w:t>.</w:t>
            </w:r>
          </w:p>
          <w:p w14:paraId="07D39BAE" w14:textId="76FE7D69" w:rsidR="00343F23" w:rsidRPr="006709DC" w:rsidRDefault="00343F23" w:rsidP="00E411CA">
            <w:pPr>
              <w:pStyle w:val="Tablebullet"/>
            </w:pPr>
            <w:r>
              <w:t>S</w:t>
            </w:r>
            <w:r w:rsidRPr="006709DC">
              <w:t>et appropriate directions, priorities and expectations for direct reports and agree the work programmes, tasks and performance</w:t>
            </w:r>
            <w:r w:rsidR="00016043">
              <w:t>.</w:t>
            </w:r>
          </w:p>
          <w:p w14:paraId="3EBBC105" w14:textId="087EC6D0" w:rsidR="00343F23" w:rsidRPr="003D175D" w:rsidRDefault="00343F23" w:rsidP="0033519C">
            <w:pPr>
              <w:pStyle w:val="Tablebullet"/>
            </w:pPr>
            <w:r>
              <w:t>P</w:t>
            </w:r>
            <w:r w:rsidRPr="006709DC">
              <w:t>rovide context, translate and communicate the Department’s direction within your team</w:t>
            </w:r>
            <w:r w:rsidR="00016043">
              <w:t>.</w:t>
            </w:r>
          </w:p>
        </w:tc>
        <w:tc>
          <w:tcPr>
            <w:tcW w:w="2205" w:type="pct"/>
            <w:tcBorders>
              <w:top w:val="nil"/>
              <w:left w:val="single" w:sz="6" w:space="0" w:color="1F546B" w:themeColor="text2"/>
              <w:bottom w:val="single" w:sz="4" w:space="0" w:color="auto"/>
              <w:right w:val="nil"/>
            </w:tcBorders>
          </w:tcPr>
          <w:p w14:paraId="43E8C531" w14:textId="0892E9AE" w:rsidR="00343F23" w:rsidRDefault="00343F23" w:rsidP="00343F23">
            <w:pPr>
              <w:pStyle w:val="Tablebullet"/>
              <w:spacing w:before="120" w:after="0"/>
            </w:pPr>
            <w:r>
              <w:lastRenderedPageBreak/>
              <w:t>Committed and engaged professionals operating in a motivating and results driven environment</w:t>
            </w:r>
            <w:r w:rsidR="00016043">
              <w:t>.</w:t>
            </w:r>
          </w:p>
          <w:p w14:paraId="53E1C39D" w14:textId="071B5C55" w:rsidR="00343F23" w:rsidRPr="003D175D" w:rsidRDefault="00343F23" w:rsidP="00343F23">
            <w:pPr>
              <w:pStyle w:val="Tablebullet"/>
              <w:spacing w:before="120" w:after="0"/>
            </w:pPr>
            <w:r>
              <w:t>Staff developed to be credible successors and candidates for more senior roles</w:t>
            </w:r>
            <w:r w:rsidR="00016043">
              <w:t>.</w:t>
            </w:r>
          </w:p>
        </w:tc>
      </w:tr>
      <w:tr w:rsidR="00E91565" w:rsidRPr="003D175D" w14:paraId="39ADF4B7" w14:textId="77777777" w:rsidTr="00F15835">
        <w:tc>
          <w:tcPr>
            <w:tcW w:w="2795" w:type="pct"/>
            <w:tcBorders>
              <w:top w:val="nil"/>
              <w:left w:val="nil"/>
              <w:bottom w:val="single" w:sz="4" w:space="0" w:color="auto"/>
              <w:right w:val="single" w:sz="6" w:space="0" w:color="1F546B" w:themeColor="text2"/>
            </w:tcBorders>
          </w:tcPr>
          <w:p w14:paraId="32369D8F" w14:textId="77777777" w:rsidR="0077037D" w:rsidRPr="00563228" w:rsidRDefault="0077037D" w:rsidP="0077037D">
            <w:pPr>
              <w:rPr>
                <w:rFonts w:cs="Arial"/>
                <w:b/>
              </w:rPr>
            </w:pPr>
            <w:r>
              <w:rPr>
                <w:rFonts w:cs="Arial"/>
                <w:b/>
              </w:rPr>
              <w:t>Health &amp; Safety (for team</w:t>
            </w:r>
            <w:r w:rsidRPr="00563228">
              <w:rPr>
                <w:rFonts w:cs="Arial"/>
                <w:b/>
              </w:rPr>
              <w:t>)</w:t>
            </w:r>
          </w:p>
          <w:p w14:paraId="74473A9B" w14:textId="77777777" w:rsidR="0077037D" w:rsidRDefault="0077037D" w:rsidP="0077037D">
            <w:pPr>
              <w:pStyle w:val="Tablebullet"/>
            </w:pPr>
            <w:r>
              <w:t>Inform, train and equip staff to carry out their work safely.</w:t>
            </w:r>
          </w:p>
          <w:p w14:paraId="6BA04D55" w14:textId="77777777" w:rsidR="0077037D" w:rsidRDefault="0077037D" w:rsidP="0077037D">
            <w:pPr>
              <w:pStyle w:val="Tablebullet"/>
            </w:pPr>
            <w:r>
              <w:t>Ensure prompt and accurate reporting and investigation of all workplace incidents and injuries.</w:t>
            </w:r>
          </w:p>
          <w:p w14:paraId="5A460C45" w14:textId="27398C74" w:rsidR="00E91565" w:rsidRPr="003D175D" w:rsidRDefault="0077037D" w:rsidP="0077037D">
            <w:pPr>
              <w:pStyle w:val="Tablebullet"/>
            </w:pPr>
            <w:r>
              <w:t>Assess all hazards promptly and ensure they are managed.</w:t>
            </w:r>
          </w:p>
        </w:tc>
        <w:tc>
          <w:tcPr>
            <w:tcW w:w="2205" w:type="pct"/>
            <w:vMerge w:val="restart"/>
            <w:tcBorders>
              <w:top w:val="nil"/>
              <w:left w:val="single" w:sz="6" w:space="0" w:color="1F546B" w:themeColor="text2"/>
              <w:right w:val="nil"/>
            </w:tcBorders>
          </w:tcPr>
          <w:p w14:paraId="4C518902" w14:textId="77777777" w:rsidR="00E91565" w:rsidRDefault="00E91565" w:rsidP="00410084">
            <w:pPr>
              <w:pStyle w:val="Tablebullet"/>
            </w:pPr>
            <w:r w:rsidRPr="009161CB">
              <w:t>A safe and health</w:t>
            </w:r>
            <w:r>
              <w:t>y</w:t>
            </w:r>
            <w:r w:rsidRPr="009161CB">
              <w:t xml:space="preserve"> workplace for all people using our sites as a place of work.</w:t>
            </w:r>
          </w:p>
          <w:p w14:paraId="6F01F8AD" w14:textId="77777777" w:rsidR="00E91565" w:rsidRPr="003D175D" w:rsidRDefault="00E91565" w:rsidP="00410084">
            <w:pPr>
              <w:pStyle w:val="Tablebullet"/>
            </w:pPr>
            <w:r w:rsidRPr="005F3820">
              <w:t>All requirements of DIA’s Health and Safety policy and procedures are met.</w:t>
            </w:r>
          </w:p>
        </w:tc>
      </w:tr>
      <w:tr w:rsidR="0077037D" w:rsidRPr="003D175D" w14:paraId="20D66A86" w14:textId="77777777" w:rsidTr="00F15835">
        <w:trPr>
          <w:cantSplit/>
          <w:trHeight w:val="2058"/>
        </w:trPr>
        <w:tc>
          <w:tcPr>
            <w:tcW w:w="2795" w:type="pct"/>
            <w:tcBorders>
              <w:top w:val="single" w:sz="4" w:space="0" w:color="auto"/>
              <w:left w:val="nil"/>
              <w:right w:val="single" w:sz="6" w:space="0" w:color="1F546B" w:themeColor="text2"/>
            </w:tcBorders>
          </w:tcPr>
          <w:p w14:paraId="561DE1CE" w14:textId="77777777" w:rsidR="0077037D" w:rsidRPr="003D175D" w:rsidRDefault="0077037D" w:rsidP="0077037D">
            <w:pPr>
              <w:pStyle w:val="Tablenormal0"/>
              <w:rPr>
                <w:b/>
                <w:bCs/>
              </w:rPr>
            </w:pPr>
            <w:r>
              <w:rPr>
                <w:b/>
                <w:bCs/>
              </w:rPr>
              <w:t>Health and safety (for self)</w:t>
            </w:r>
          </w:p>
          <w:p w14:paraId="536C85B5" w14:textId="77777777" w:rsidR="0077037D" w:rsidRDefault="0077037D" w:rsidP="0077037D">
            <w:pPr>
              <w:pStyle w:val="Tablebullet"/>
            </w:pPr>
            <w:r>
              <w:t>Work safely and take responsibility for keeping self and colleagues free from harm.</w:t>
            </w:r>
          </w:p>
          <w:p w14:paraId="055263D9" w14:textId="77777777" w:rsidR="0077037D" w:rsidRDefault="0077037D" w:rsidP="0077037D">
            <w:pPr>
              <w:pStyle w:val="Tablebullet"/>
            </w:pPr>
            <w:r>
              <w:t>Report all incidents and hazards promptly.</w:t>
            </w:r>
          </w:p>
          <w:p w14:paraId="5BA82AAE" w14:textId="77777777" w:rsidR="0077037D" w:rsidRDefault="0077037D" w:rsidP="00F15835">
            <w:pPr>
              <w:pStyle w:val="Tablebullet"/>
            </w:pPr>
            <w:r>
              <w:t>Know what to do in the event of an emergency.</w:t>
            </w:r>
          </w:p>
          <w:p w14:paraId="3284BEAC" w14:textId="2A329BAF" w:rsidR="0077037D" w:rsidRDefault="0077037D" w:rsidP="00F15835">
            <w:pPr>
              <w:pStyle w:val="Tablebullet"/>
              <w:rPr>
                <w:rFonts w:cs="Arial"/>
                <w:b/>
              </w:rPr>
            </w:pPr>
            <w:r>
              <w:t>Cooperate in implementing return to work plans.</w:t>
            </w:r>
          </w:p>
        </w:tc>
        <w:tc>
          <w:tcPr>
            <w:tcW w:w="2205" w:type="pct"/>
            <w:vMerge/>
            <w:tcBorders>
              <w:left w:val="single" w:sz="6" w:space="0" w:color="1F546B" w:themeColor="text2"/>
              <w:bottom w:val="single" w:sz="6" w:space="0" w:color="1F546B" w:themeColor="text2"/>
              <w:right w:val="nil"/>
            </w:tcBorders>
          </w:tcPr>
          <w:p w14:paraId="2993A966" w14:textId="77777777" w:rsidR="0077037D" w:rsidRPr="009161CB" w:rsidRDefault="0077037D" w:rsidP="00E91565">
            <w:pPr>
              <w:pStyle w:val="Tablebullet"/>
              <w:numPr>
                <w:ilvl w:val="0"/>
                <w:numId w:val="0"/>
              </w:numPr>
            </w:pPr>
          </w:p>
        </w:tc>
      </w:tr>
    </w:tbl>
    <w:p w14:paraId="7403F942"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026"/>
        <w:gridCol w:w="4816"/>
        <w:gridCol w:w="651"/>
        <w:gridCol w:w="652"/>
        <w:gridCol w:w="652"/>
        <w:gridCol w:w="651"/>
        <w:gridCol w:w="652"/>
        <w:gridCol w:w="652"/>
      </w:tblGrid>
      <w:tr w:rsidR="006B2693" w:rsidRPr="00267EDC" w14:paraId="51FBA09E" w14:textId="77777777" w:rsidTr="001D30D4">
        <w:trPr>
          <w:trHeight w:val="737"/>
          <w:tblHeader/>
        </w:trPr>
        <w:tc>
          <w:tcPr>
            <w:tcW w:w="5842" w:type="dxa"/>
            <w:gridSpan w:val="2"/>
            <w:tcBorders>
              <w:bottom w:val="single" w:sz="6" w:space="0" w:color="1F546B" w:themeColor="text2"/>
            </w:tcBorders>
          </w:tcPr>
          <w:p w14:paraId="577E507C"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23E29A76"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474C6C8B"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59ECFBDE"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38758A6"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2A60D2D0" w14:textId="77777777" w:rsidR="006B2693" w:rsidRPr="00267EDC" w:rsidRDefault="006B2693" w:rsidP="00267EDC">
            <w:pPr>
              <w:pStyle w:val="Tableverticaltext"/>
            </w:pPr>
            <w:r w:rsidRPr="00267EDC">
              <w:t>Manage/</w:t>
            </w:r>
          </w:p>
          <w:p w14:paraId="5F844ECD"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1CFF51F" w14:textId="77777777" w:rsidR="006B2693" w:rsidRPr="00267EDC" w:rsidRDefault="006B2693" w:rsidP="00267EDC">
            <w:pPr>
              <w:pStyle w:val="Tableverticaltext"/>
            </w:pPr>
            <w:r w:rsidRPr="00267EDC">
              <w:t>Deliver to</w:t>
            </w:r>
          </w:p>
        </w:tc>
      </w:tr>
      <w:tr w:rsidR="006B2693" w:rsidRPr="00267EDC" w14:paraId="6729EFD8"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3D4DBF11"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AA7B7B4" w14:textId="77777777" w:rsidR="006B2693" w:rsidRPr="00267EDC" w:rsidRDefault="006B2693" w:rsidP="00267EDC"/>
        </w:tc>
        <w:tc>
          <w:tcPr>
            <w:tcW w:w="652" w:type="dxa"/>
            <w:vMerge/>
            <w:tcBorders>
              <w:bottom w:val="single" w:sz="6" w:space="0" w:color="1F546B" w:themeColor="text2"/>
            </w:tcBorders>
            <w:textDirection w:val="btLr"/>
          </w:tcPr>
          <w:p w14:paraId="3F3F6E00" w14:textId="77777777" w:rsidR="006B2693" w:rsidRPr="00267EDC" w:rsidRDefault="006B2693" w:rsidP="00267EDC"/>
        </w:tc>
        <w:tc>
          <w:tcPr>
            <w:tcW w:w="652" w:type="dxa"/>
            <w:vMerge/>
            <w:tcBorders>
              <w:bottom w:val="single" w:sz="6" w:space="0" w:color="1F546B" w:themeColor="text2"/>
            </w:tcBorders>
            <w:textDirection w:val="btLr"/>
          </w:tcPr>
          <w:p w14:paraId="7F6BC845" w14:textId="77777777" w:rsidR="006B2693" w:rsidRPr="00267EDC" w:rsidRDefault="006B2693" w:rsidP="00267EDC"/>
        </w:tc>
        <w:tc>
          <w:tcPr>
            <w:tcW w:w="651" w:type="dxa"/>
            <w:vMerge/>
            <w:tcBorders>
              <w:bottom w:val="single" w:sz="6" w:space="0" w:color="1F546B" w:themeColor="text2"/>
            </w:tcBorders>
            <w:textDirection w:val="btLr"/>
          </w:tcPr>
          <w:p w14:paraId="64EEE9D6" w14:textId="77777777" w:rsidR="006B2693" w:rsidRPr="00267EDC" w:rsidRDefault="006B2693" w:rsidP="00267EDC"/>
        </w:tc>
        <w:tc>
          <w:tcPr>
            <w:tcW w:w="652" w:type="dxa"/>
            <w:vMerge/>
            <w:tcBorders>
              <w:bottom w:val="single" w:sz="6" w:space="0" w:color="1F546B" w:themeColor="text2"/>
            </w:tcBorders>
            <w:textDirection w:val="btLr"/>
          </w:tcPr>
          <w:p w14:paraId="3C8DB0CD"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22C47E31" w14:textId="77777777" w:rsidR="006B2693" w:rsidRPr="00267EDC" w:rsidRDefault="006B2693" w:rsidP="00267EDC"/>
        </w:tc>
      </w:tr>
      <w:tr w:rsidR="00602DFC" w:rsidRPr="001D30D4" w14:paraId="4A668E50" w14:textId="77777777" w:rsidTr="00A76720">
        <w:trPr>
          <w:trHeight w:val="345"/>
        </w:trPr>
        <w:tc>
          <w:tcPr>
            <w:tcW w:w="1026" w:type="dxa"/>
            <w:vMerge w:val="restart"/>
            <w:tcBorders>
              <w:top w:val="single" w:sz="6" w:space="0" w:color="1F546B" w:themeColor="text2"/>
              <w:right w:val="single" w:sz="6" w:space="0" w:color="1F546B" w:themeColor="text2"/>
            </w:tcBorders>
            <w:vAlign w:val="center"/>
          </w:tcPr>
          <w:p w14:paraId="4EE32DB3" w14:textId="77777777" w:rsidR="00602DFC" w:rsidRPr="001D30D4" w:rsidRDefault="00602DFC" w:rsidP="00602DFC">
            <w:pPr>
              <w:pStyle w:val="Tablenormalcondensed"/>
            </w:pPr>
            <w:r w:rsidRPr="001D30D4">
              <w:t>Internal</w:t>
            </w: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5D0C02" w14:textId="77777777" w:rsidR="00602DFC" w:rsidRPr="001D30D4" w:rsidRDefault="00602DFC" w:rsidP="00602DFC">
            <w:pPr>
              <w:pStyle w:val="Tablenormalcondensed"/>
            </w:pPr>
            <w:r>
              <w:t>Chief Executive and ELT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8A29CB8" w14:textId="77777777" w:rsidR="00602DFC" w:rsidRPr="00BA0D3D" w:rsidRDefault="00602DFC" w:rsidP="00602DFC">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162F937" w14:textId="77777777" w:rsidR="00602DFC" w:rsidRDefault="00602DFC" w:rsidP="00602DFC"/>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CFF7990" w14:textId="77777777" w:rsidR="00602DFC" w:rsidRDefault="00602DFC" w:rsidP="00602DFC">
            <w:r w:rsidRPr="00356B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FE76733" w14:textId="77777777" w:rsidR="00602DFC" w:rsidRPr="00BA0D3D" w:rsidRDefault="00602DFC" w:rsidP="00602DFC">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6ED9DB" w14:textId="77777777" w:rsidR="00602DFC" w:rsidRPr="00BA0D3D" w:rsidRDefault="00602DFC" w:rsidP="00602DFC">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6A88797" w14:textId="77777777" w:rsidR="00602DFC" w:rsidRPr="00BA0D3D" w:rsidRDefault="00602DFC" w:rsidP="00602DFC">
            <w:pPr>
              <w:pStyle w:val="Tablenormalcondensed"/>
            </w:pPr>
            <w:r w:rsidRPr="00BA0D3D">
              <w:sym w:font="Wingdings" w:char="F0FC"/>
            </w:r>
          </w:p>
        </w:tc>
      </w:tr>
      <w:tr w:rsidR="00602DFC" w:rsidRPr="001D30D4" w14:paraId="23722744" w14:textId="77777777" w:rsidTr="00A76720">
        <w:trPr>
          <w:trHeight w:val="345"/>
        </w:trPr>
        <w:tc>
          <w:tcPr>
            <w:tcW w:w="1026" w:type="dxa"/>
            <w:vMerge/>
            <w:tcBorders>
              <w:right w:val="single" w:sz="6" w:space="0" w:color="1F546B" w:themeColor="text2"/>
            </w:tcBorders>
            <w:vAlign w:val="center"/>
          </w:tcPr>
          <w:p w14:paraId="5B6E6076" w14:textId="77777777" w:rsidR="00602DFC" w:rsidRPr="001D30D4" w:rsidRDefault="00602DFC" w:rsidP="00602DFC">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477810F" w14:textId="77777777" w:rsidR="00602DFC" w:rsidRDefault="00602DFC" w:rsidP="00602DFC">
            <w:pPr>
              <w:pStyle w:val="Tablenormalcondensed"/>
            </w:pPr>
            <w:r>
              <w:t>Branch Leadership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79EEF65" w14:textId="77777777" w:rsidR="00602DFC" w:rsidRDefault="00602DFC" w:rsidP="00602DFC">
            <w:r w:rsidRPr="005E72F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752D274" w14:textId="77777777" w:rsidR="00602DFC" w:rsidRDefault="00602DFC" w:rsidP="00602DFC">
            <w:r w:rsidRPr="005E72F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F608109" w14:textId="77777777" w:rsidR="00602DFC" w:rsidRDefault="00602DFC" w:rsidP="00602DFC">
            <w:r w:rsidRPr="0074024F">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4430864" w14:textId="77777777" w:rsidR="00602DFC" w:rsidRDefault="00602DFC" w:rsidP="00602DFC">
            <w:r w:rsidRPr="0074024F">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AA5C12A" w14:textId="77777777" w:rsidR="00602DFC" w:rsidRDefault="00602DFC" w:rsidP="00602DFC"/>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3F0441F" w14:textId="77777777" w:rsidR="00602DFC" w:rsidRPr="00BA0D3D" w:rsidRDefault="00602DFC" w:rsidP="00602DFC">
            <w:pPr>
              <w:pStyle w:val="Tablenormalcondensed"/>
            </w:pPr>
            <w:r w:rsidRPr="0074024F">
              <w:sym w:font="Wingdings" w:char="F0FC"/>
            </w:r>
          </w:p>
        </w:tc>
      </w:tr>
      <w:tr w:rsidR="00BD4EC7" w:rsidRPr="001D30D4" w14:paraId="3EE87CD9" w14:textId="77777777" w:rsidTr="00F15835">
        <w:trPr>
          <w:trHeight w:val="345"/>
        </w:trPr>
        <w:tc>
          <w:tcPr>
            <w:tcW w:w="1026" w:type="dxa"/>
            <w:vMerge/>
            <w:tcBorders>
              <w:right w:val="single" w:sz="6" w:space="0" w:color="1F546B" w:themeColor="text2"/>
            </w:tcBorders>
            <w:vAlign w:val="center"/>
          </w:tcPr>
          <w:p w14:paraId="481370E8" w14:textId="77777777" w:rsidR="00BD4EC7" w:rsidRPr="001D30D4" w:rsidRDefault="00BD4EC7" w:rsidP="00BD4EC7">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CDF5B9C" w14:textId="292BE2E9" w:rsidR="00BD4EC7" w:rsidRDefault="00BD4EC7" w:rsidP="00BD4EC7">
            <w:pPr>
              <w:pStyle w:val="Tablenormalcondensed"/>
            </w:pPr>
            <w:r>
              <w:t>Risk and Assurance Governance Committee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FCA35A8" w14:textId="13ACD4F8"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793A88" w14:textId="6872FD24" w:rsidR="00BD4EC7" w:rsidRPr="00BA0D3D" w:rsidRDefault="00BD4EC7" w:rsidP="00BD4EC7">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C75EB4" w14:textId="1E66401F" w:rsidR="00BD4EC7" w:rsidRPr="00BA0D3D" w:rsidRDefault="00BD4EC7" w:rsidP="00BD4EC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F88FD6C" w14:textId="53B6AA45"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6F16DD" w14:textId="77777777" w:rsidR="00BD4EC7" w:rsidRPr="00BA0D3D" w:rsidRDefault="00BD4EC7" w:rsidP="00BD4EC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1CCF539" w14:textId="21AEFE12" w:rsidR="00BD4EC7" w:rsidRPr="00BA0D3D" w:rsidRDefault="00BD4EC7" w:rsidP="00BD4EC7">
            <w:pPr>
              <w:pStyle w:val="Tablenormalcondensed"/>
            </w:pPr>
            <w:r w:rsidRPr="00BA0D3D">
              <w:sym w:font="Wingdings" w:char="F0FC"/>
            </w:r>
          </w:p>
        </w:tc>
      </w:tr>
      <w:tr w:rsidR="00BD4EC7" w:rsidRPr="001D30D4" w14:paraId="4919F26D" w14:textId="77777777" w:rsidTr="00F15835">
        <w:trPr>
          <w:trHeight w:val="345"/>
        </w:trPr>
        <w:tc>
          <w:tcPr>
            <w:tcW w:w="1026" w:type="dxa"/>
            <w:vMerge/>
            <w:tcBorders>
              <w:right w:val="single" w:sz="6" w:space="0" w:color="1F546B" w:themeColor="text2"/>
            </w:tcBorders>
            <w:vAlign w:val="center"/>
          </w:tcPr>
          <w:p w14:paraId="67ECCD3A" w14:textId="77777777" w:rsidR="00BD4EC7" w:rsidRPr="001D30D4" w:rsidRDefault="00BD4EC7" w:rsidP="00BD4EC7">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8A106D" w14:textId="34C88EC6" w:rsidR="00BD4EC7" w:rsidRDefault="00BD4EC7" w:rsidP="00BD4EC7">
            <w:pPr>
              <w:pStyle w:val="Tablenormalcondensed"/>
            </w:pPr>
            <w:r>
              <w:t>Manager, Governance Risk &amp; Assurance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5A4DDB9" w14:textId="0D1A1734"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0DAB790" w14:textId="3CF8CE21" w:rsidR="00BD4EC7" w:rsidRPr="00BA0D3D" w:rsidRDefault="00BD4EC7" w:rsidP="00BD4EC7">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1C0C003" w14:textId="30089038" w:rsidR="00BD4EC7" w:rsidRPr="00BA0D3D" w:rsidRDefault="00BD4EC7" w:rsidP="00BD4EC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92D9DD" w14:textId="53919214"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BCE045" w14:textId="77777777" w:rsidR="00BD4EC7" w:rsidRPr="00BA0D3D" w:rsidRDefault="00BD4EC7" w:rsidP="00BD4EC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EF49C38" w14:textId="129DEC06" w:rsidR="00BD4EC7" w:rsidRPr="00BA0D3D" w:rsidRDefault="00BD4EC7" w:rsidP="00BD4EC7">
            <w:pPr>
              <w:pStyle w:val="Tablenormalcondensed"/>
            </w:pPr>
            <w:r w:rsidRPr="00BA0D3D">
              <w:sym w:font="Wingdings" w:char="F0FC"/>
            </w:r>
          </w:p>
        </w:tc>
      </w:tr>
      <w:tr w:rsidR="00BD4EC7" w:rsidRPr="001D30D4" w14:paraId="74434568" w14:textId="77777777" w:rsidTr="00A76720">
        <w:trPr>
          <w:trHeight w:val="345"/>
        </w:trPr>
        <w:tc>
          <w:tcPr>
            <w:tcW w:w="1026" w:type="dxa"/>
            <w:vMerge/>
            <w:tcBorders>
              <w:right w:val="single" w:sz="6" w:space="0" w:color="1F546B" w:themeColor="text2"/>
            </w:tcBorders>
            <w:vAlign w:val="center"/>
          </w:tcPr>
          <w:p w14:paraId="6D59128C" w14:textId="77777777" w:rsidR="00BD4EC7" w:rsidRPr="001D30D4" w:rsidRDefault="00BD4EC7" w:rsidP="00BD4EC7">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D298391" w14:textId="5185AD38" w:rsidR="00BD4EC7" w:rsidRDefault="00D47144" w:rsidP="00BD4EC7">
            <w:pPr>
              <w:pStyle w:val="Tablenormalcondensed"/>
            </w:pPr>
            <w:r>
              <w:t>Director</w:t>
            </w:r>
            <w:r w:rsidR="00BD4EC7">
              <w:t>, Strategy &amp; P</w:t>
            </w:r>
            <w:r>
              <w:t xml:space="preserve">erformance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A90B26" w14:textId="77777777"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C1D707E" w14:textId="77777777" w:rsidR="00BD4EC7" w:rsidRDefault="00BD4EC7" w:rsidP="00BD4EC7">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0717AC0" w14:textId="77777777" w:rsidR="00BD4EC7" w:rsidRPr="00BA0D3D" w:rsidRDefault="00BD4EC7" w:rsidP="00BD4EC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7EDD95" w14:textId="77777777"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07820E" w14:textId="77777777" w:rsidR="00BD4EC7" w:rsidRPr="00BA0D3D" w:rsidRDefault="00BD4EC7" w:rsidP="00BD4EC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D1546A0" w14:textId="77777777" w:rsidR="00BD4EC7" w:rsidRPr="00BA0D3D" w:rsidRDefault="00BD4EC7" w:rsidP="00BD4EC7">
            <w:pPr>
              <w:pStyle w:val="Tablenormalcondensed"/>
            </w:pPr>
          </w:p>
        </w:tc>
      </w:tr>
      <w:tr w:rsidR="00BD4EC7" w:rsidRPr="001D30D4" w14:paraId="0FC25A0B" w14:textId="77777777" w:rsidTr="00F15835">
        <w:trPr>
          <w:trHeight w:val="345"/>
        </w:trPr>
        <w:tc>
          <w:tcPr>
            <w:tcW w:w="1026" w:type="dxa"/>
            <w:vMerge/>
            <w:tcBorders>
              <w:right w:val="single" w:sz="6" w:space="0" w:color="1F546B" w:themeColor="text2"/>
            </w:tcBorders>
            <w:vAlign w:val="center"/>
          </w:tcPr>
          <w:p w14:paraId="53CAAC74" w14:textId="77777777" w:rsidR="00BD4EC7" w:rsidRPr="001D30D4" w:rsidRDefault="00BD4EC7" w:rsidP="00BD4EC7">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146B9C8" w14:textId="5B63F086" w:rsidR="00BD4EC7" w:rsidRPr="001D30D4" w:rsidRDefault="00BD4EC7" w:rsidP="00BD4EC7">
            <w:pPr>
              <w:pStyle w:val="Tablenormalcondensed"/>
              <w:rPr>
                <w:highlight w:val="yellow"/>
              </w:rPr>
            </w:pPr>
            <w:r>
              <w:t>Manager, Assurance &amp; Audit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51E6C1" w14:textId="37EE6F42" w:rsidR="00BD4EC7" w:rsidRPr="00BA0D3D" w:rsidRDefault="00BD4EC7" w:rsidP="00BD4EC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E0E3D53" w14:textId="5A24387D" w:rsidR="00BD4EC7" w:rsidRPr="00BA0D3D" w:rsidRDefault="00BD4EC7" w:rsidP="00BD4EC7">
            <w:pPr>
              <w:pStyle w:val="Tablenormalcondensed"/>
            </w:pPr>
            <w:r w:rsidRPr="004B0AB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353705E" w14:textId="0FABFABD" w:rsidR="00BD4EC7" w:rsidRPr="00BA0D3D" w:rsidRDefault="00BD4EC7" w:rsidP="00BD4EC7">
            <w:pPr>
              <w:pStyle w:val="Tablenormalcondensed"/>
            </w:pPr>
            <w:r w:rsidRPr="004B0AB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30AB078" w14:textId="39A74EAA" w:rsidR="00BD4EC7" w:rsidRPr="00BA0D3D" w:rsidRDefault="00BD4EC7" w:rsidP="00BD4EC7">
            <w:pPr>
              <w:pStyle w:val="Tablenormalcondensed"/>
            </w:pPr>
            <w:r w:rsidRPr="004B0AB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C20E235" w14:textId="4BE38873" w:rsidR="00BD4EC7" w:rsidRPr="00BA0D3D" w:rsidRDefault="00BD4EC7" w:rsidP="00BD4EC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492D357" w14:textId="77777777" w:rsidR="00BD4EC7" w:rsidRPr="00BA0D3D" w:rsidRDefault="00BD4EC7" w:rsidP="00BD4EC7">
            <w:pPr>
              <w:pStyle w:val="Tablenormalcondensed"/>
            </w:pPr>
          </w:p>
        </w:tc>
      </w:tr>
      <w:tr w:rsidR="00D47144" w:rsidRPr="001D30D4" w14:paraId="40E6E200" w14:textId="77777777" w:rsidTr="00F15835">
        <w:trPr>
          <w:trHeight w:val="345"/>
        </w:trPr>
        <w:tc>
          <w:tcPr>
            <w:tcW w:w="1026" w:type="dxa"/>
            <w:vMerge/>
            <w:tcBorders>
              <w:right w:val="single" w:sz="6" w:space="0" w:color="1F546B" w:themeColor="text2"/>
            </w:tcBorders>
            <w:vAlign w:val="center"/>
          </w:tcPr>
          <w:p w14:paraId="07842BF6" w14:textId="77777777" w:rsidR="00D47144" w:rsidRPr="001D30D4" w:rsidRDefault="00D47144" w:rsidP="00D47144">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9733A9" w14:textId="3939CE33" w:rsidR="00D47144" w:rsidRDefault="00D47144" w:rsidP="00D47144">
            <w:pPr>
              <w:pStyle w:val="Tablenormalcondensed"/>
            </w:pPr>
            <w:r>
              <w:t>Manager, Executive Governance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A5DC8B" w14:textId="79A856B0"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10AADF7" w14:textId="4A1287D0"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1C0C507" w14:textId="43F1035D" w:rsidR="00D47144" w:rsidRPr="00BA0D3D" w:rsidRDefault="00D47144" w:rsidP="00D47144">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B5397C1" w14:textId="101AE799"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0F1847B" w14:textId="77777777" w:rsidR="00D47144" w:rsidRPr="00BA0D3D" w:rsidRDefault="00D47144" w:rsidP="00D4714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C743374" w14:textId="77777777" w:rsidR="00D47144" w:rsidRPr="00BA0D3D" w:rsidDel="00BD4EC7" w:rsidRDefault="00D47144" w:rsidP="00D47144">
            <w:pPr>
              <w:pStyle w:val="Tablenormalcondensed"/>
            </w:pPr>
          </w:p>
        </w:tc>
      </w:tr>
      <w:tr w:rsidR="00D47144" w:rsidRPr="001D30D4" w14:paraId="101562F8" w14:textId="77777777" w:rsidTr="00A76720">
        <w:trPr>
          <w:trHeight w:val="345"/>
        </w:trPr>
        <w:tc>
          <w:tcPr>
            <w:tcW w:w="1026" w:type="dxa"/>
            <w:vMerge/>
            <w:tcBorders>
              <w:right w:val="single" w:sz="6" w:space="0" w:color="1F546B" w:themeColor="text2"/>
            </w:tcBorders>
            <w:vAlign w:val="center"/>
          </w:tcPr>
          <w:p w14:paraId="2E051CA2" w14:textId="77777777" w:rsidR="00D47144" w:rsidRPr="001D30D4" w:rsidRDefault="00D47144" w:rsidP="00D47144">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5283504" w14:textId="6A8898BB" w:rsidR="00D47144" w:rsidRPr="001D30D4" w:rsidRDefault="00D47144" w:rsidP="00D47144">
            <w:pPr>
              <w:pStyle w:val="Tablenormalcondensed"/>
              <w:rPr>
                <w:highlight w:val="yellow"/>
              </w:rPr>
            </w:pPr>
            <w:r>
              <w:t>Senior Advisor, Organisational Risk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2869CD7" w14:textId="64FDB21D"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3BBB66" w14:textId="691E9E6B"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9102FC" w14:textId="3EDD74AE" w:rsidR="00D47144" w:rsidRPr="00BA0D3D" w:rsidRDefault="00D47144" w:rsidP="00D47144">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2C4999" w14:textId="5FAAA032"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105A6F" w14:textId="4BC52337"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16A24DF" w14:textId="7AA9A675" w:rsidR="00D47144" w:rsidRPr="00BA0D3D" w:rsidRDefault="00D47144" w:rsidP="00D47144">
            <w:pPr>
              <w:pStyle w:val="Tablenormalcondensed"/>
            </w:pPr>
          </w:p>
        </w:tc>
      </w:tr>
      <w:tr w:rsidR="00D47144" w:rsidRPr="001D30D4" w14:paraId="39CEF579" w14:textId="77777777" w:rsidTr="00A76720">
        <w:trPr>
          <w:trHeight w:val="233"/>
        </w:trPr>
        <w:tc>
          <w:tcPr>
            <w:tcW w:w="1026" w:type="dxa"/>
            <w:vMerge w:val="restart"/>
            <w:tcBorders>
              <w:top w:val="single" w:sz="6" w:space="0" w:color="1F546B" w:themeColor="text2"/>
              <w:bottom w:val="single" w:sz="6" w:space="0" w:color="1F546B" w:themeColor="text2"/>
              <w:right w:val="single" w:sz="6" w:space="0" w:color="1F546B" w:themeColor="text2"/>
            </w:tcBorders>
            <w:vAlign w:val="center"/>
          </w:tcPr>
          <w:p w14:paraId="26931798" w14:textId="77777777" w:rsidR="00D47144" w:rsidRPr="001D30D4" w:rsidRDefault="00D47144" w:rsidP="00D47144">
            <w:pPr>
              <w:pStyle w:val="Tablenormalcondensed"/>
            </w:pPr>
            <w:r w:rsidRPr="001D30D4">
              <w:t>External</w:t>
            </w: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3FCE0EE" w14:textId="4BA4035B" w:rsidR="00D47144" w:rsidRPr="001D30D4" w:rsidRDefault="00D47144" w:rsidP="00D47144">
            <w:pPr>
              <w:pStyle w:val="Tablenormalcondensed"/>
              <w:rPr>
                <w:highlight w:val="yellow"/>
              </w:rPr>
            </w:pPr>
            <w:r w:rsidRPr="00594ED2">
              <w:t xml:space="preserve">Relevant networks </w:t>
            </w:r>
            <w:r>
              <w:t>&amp;</w:t>
            </w:r>
            <w:r w:rsidRPr="00594ED2">
              <w:t xml:space="preserve"> professional associations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4E0BF0" w14:textId="77777777" w:rsidR="00D47144" w:rsidRPr="00BA0D3D" w:rsidRDefault="00D47144" w:rsidP="00D4714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82CCB3C" w14:textId="77777777"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97D767F" w14:textId="77777777" w:rsidR="00D47144" w:rsidRPr="00BA0D3D" w:rsidRDefault="00D47144" w:rsidP="00D47144">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37945E" w14:textId="77777777"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43B6C2" w14:textId="77777777" w:rsidR="00D47144" w:rsidRPr="00BA0D3D" w:rsidRDefault="00D47144" w:rsidP="00D4714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8C71DCB" w14:textId="77777777" w:rsidR="00D47144" w:rsidRPr="00BA0D3D" w:rsidRDefault="00D47144" w:rsidP="00D47144">
            <w:pPr>
              <w:pStyle w:val="Tablenormalcondensed"/>
            </w:pPr>
          </w:p>
        </w:tc>
      </w:tr>
      <w:tr w:rsidR="00D47144" w:rsidRPr="001D30D4" w14:paraId="1C4FCEA9" w14:textId="77777777" w:rsidTr="00A76720">
        <w:trPr>
          <w:trHeight w:val="233"/>
        </w:trPr>
        <w:tc>
          <w:tcPr>
            <w:tcW w:w="1026" w:type="dxa"/>
            <w:vMerge/>
            <w:tcBorders>
              <w:top w:val="single" w:sz="6" w:space="0" w:color="1F546B" w:themeColor="text2"/>
              <w:bottom w:val="single" w:sz="6" w:space="0" w:color="1F546B" w:themeColor="text2"/>
              <w:right w:val="single" w:sz="6" w:space="0" w:color="1F546B" w:themeColor="text2"/>
            </w:tcBorders>
            <w:vAlign w:val="center"/>
          </w:tcPr>
          <w:p w14:paraId="53ABFF0B" w14:textId="77777777" w:rsidR="00D47144" w:rsidRPr="001D30D4" w:rsidRDefault="00D47144" w:rsidP="00D47144">
            <w:pPr>
              <w:pStyle w:val="Tablenormalcondensed"/>
            </w:pPr>
          </w:p>
        </w:tc>
        <w:tc>
          <w:tcPr>
            <w:tcW w:w="4816"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8642BE8" w14:textId="77777777" w:rsidR="00D47144" w:rsidRPr="00594ED2" w:rsidRDefault="00D47144" w:rsidP="00D47144">
            <w:pPr>
              <w:pStyle w:val="Tablenormalcondensed"/>
            </w:pPr>
            <w:r>
              <w:t>Other 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5F50DC5" w14:textId="77777777" w:rsidR="00D47144" w:rsidRPr="00BA0D3D" w:rsidRDefault="00D47144" w:rsidP="00D4714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51DF1AB" w14:textId="77777777"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CD0251" w14:textId="77777777" w:rsidR="00D47144" w:rsidRPr="00BA0D3D" w:rsidRDefault="00D47144" w:rsidP="00D47144">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BDEA50F" w14:textId="77777777" w:rsidR="00D47144" w:rsidRPr="00BA0D3D" w:rsidRDefault="00D47144" w:rsidP="00D4714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6EFCCD" w14:textId="77777777" w:rsidR="00D47144" w:rsidRPr="00BA0D3D" w:rsidRDefault="00D47144" w:rsidP="00D4714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7E521D6" w14:textId="77777777" w:rsidR="00D47144" w:rsidRPr="00BA0D3D" w:rsidRDefault="00D47144" w:rsidP="00D47144">
            <w:pPr>
              <w:pStyle w:val="Tablenormalcondensed"/>
            </w:pPr>
          </w:p>
        </w:tc>
      </w:tr>
    </w:tbl>
    <w:p w14:paraId="3CB7DA8C" w14:textId="77777777" w:rsidR="008023C3" w:rsidRDefault="008023C3" w:rsidP="00ED37A7">
      <w:pPr>
        <w:pStyle w:val="Tinyline"/>
      </w:pPr>
    </w:p>
    <w:p w14:paraId="74480CB1"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81"/>
        <w:gridCol w:w="4734"/>
      </w:tblGrid>
      <w:tr w:rsidR="00ED37A7" w:rsidRPr="008023C3" w14:paraId="43E20DD2" w14:textId="77777777" w:rsidTr="00F15835">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0B1BC85B" w14:textId="77777777" w:rsidR="00ED37A7" w:rsidRPr="008023C3" w:rsidRDefault="00ED37A7" w:rsidP="00ED37A7">
            <w:pPr>
              <w:pStyle w:val="Tableheading"/>
            </w:pPr>
            <w:r>
              <w:lastRenderedPageBreak/>
              <w:t xml:space="preserve">Your delegations </w:t>
            </w:r>
          </w:p>
        </w:tc>
      </w:tr>
      <w:tr w:rsidR="00ED37A7" w:rsidRPr="008023C3" w14:paraId="102D25A5" w14:textId="77777777" w:rsidTr="00F15835">
        <w:tc>
          <w:tcPr>
            <w:tcW w:w="4781" w:type="dxa"/>
            <w:tcBorders>
              <w:top w:val="nil"/>
              <w:left w:val="nil"/>
              <w:bottom w:val="single" w:sz="6" w:space="0" w:color="1F546B" w:themeColor="text2"/>
              <w:right w:val="single" w:sz="6" w:space="0" w:color="1F546B" w:themeColor="text2"/>
            </w:tcBorders>
          </w:tcPr>
          <w:p w14:paraId="5239050F" w14:textId="77777777" w:rsidR="00ED37A7" w:rsidRPr="00356EDF" w:rsidRDefault="00ED37A7" w:rsidP="00880632">
            <w:pPr>
              <w:pStyle w:val="Tablenormal0"/>
            </w:pPr>
            <w:r>
              <w:t>Human Resources and financial delegations</w:t>
            </w:r>
          </w:p>
        </w:tc>
        <w:tc>
          <w:tcPr>
            <w:tcW w:w="4734" w:type="dxa"/>
            <w:tcBorders>
              <w:top w:val="nil"/>
              <w:left w:val="single" w:sz="6" w:space="0" w:color="1F546B" w:themeColor="text2"/>
              <w:bottom w:val="single" w:sz="6" w:space="0" w:color="1F546B" w:themeColor="text2"/>
              <w:right w:val="nil"/>
            </w:tcBorders>
          </w:tcPr>
          <w:p w14:paraId="7083ED22" w14:textId="77777777" w:rsidR="00ED37A7" w:rsidRPr="001D30D4" w:rsidRDefault="00602DFC" w:rsidP="00ED37A7">
            <w:pPr>
              <w:pStyle w:val="Tablenormal0"/>
            </w:pPr>
            <w:r>
              <w:t>F</w:t>
            </w:r>
          </w:p>
        </w:tc>
      </w:tr>
      <w:tr w:rsidR="00ED37A7" w:rsidRPr="008023C3" w14:paraId="696A5322" w14:textId="77777777" w:rsidTr="00F15835">
        <w:trPr>
          <w:trHeight w:val="521"/>
        </w:trPr>
        <w:tc>
          <w:tcPr>
            <w:tcW w:w="4781" w:type="dxa"/>
            <w:tcBorders>
              <w:top w:val="single" w:sz="6" w:space="0" w:color="1F546B" w:themeColor="text2"/>
              <w:left w:val="nil"/>
              <w:bottom w:val="single" w:sz="6" w:space="0" w:color="1F546B" w:themeColor="text2"/>
              <w:right w:val="single" w:sz="6" w:space="0" w:color="1F546B" w:themeColor="text2"/>
            </w:tcBorders>
          </w:tcPr>
          <w:p w14:paraId="2F09DAD2" w14:textId="77777777" w:rsidR="00ED37A7" w:rsidRDefault="00ED37A7" w:rsidP="00880632">
            <w:pPr>
              <w:pStyle w:val="Tablenormal0"/>
            </w:pPr>
            <w:r>
              <w:t>Direct reports</w:t>
            </w:r>
          </w:p>
        </w:tc>
        <w:tc>
          <w:tcPr>
            <w:tcW w:w="4734" w:type="dxa"/>
            <w:tcBorders>
              <w:top w:val="single" w:sz="6" w:space="0" w:color="1F546B" w:themeColor="text2"/>
              <w:left w:val="single" w:sz="6" w:space="0" w:color="1F546B" w:themeColor="text2"/>
              <w:bottom w:val="single" w:sz="6" w:space="0" w:color="1F546B" w:themeColor="text2"/>
              <w:right w:val="nil"/>
            </w:tcBorders>
          </w:tcPr>
          <w:p w14:paraId="281C86C1" w14:textId="77777777" w:rsidR="00ED37A7" w:rsidRPr="001D30D4" w:rsidRDefault="00602DFC" w:rsidP="00880632">
            <w:pPr>
              <w:pStyle w:val="Tablenormal0"/>
            </w:pPr>
            <w:r>
              <w:t>1 - 5</w:t>
            </w:r>
          </w:p>
        </w:tc>
      </w:tr>
    </w:tbl>
    <w:p w14:paraId="1A6A2243" w14:textId="77777777" w:rsidR="00A76720" w:rsidRDefault="00A76720" w:rsidP="00B90EE6">
      <w:pPr>
        <w:pStyle w:val="Tableheading"/>
        <w:sectPr w:rsidR="00A76720" w:rsidSect="00E91565">
          <w:pgSz w:w="11907" w:h="16840" w:code="9"/>
          <w:pgMar w:top="1134" w:right="1134" w:bottom="992" w:left="1134" w:header="425" w:footer="635" w:gutter="0"/>
          <w:cols w:space="708"/>
          <w:docGrid w:linePitch="360"/>
        </w:sect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3995"/>
        <w:gridCol w:w="5520"/>
      </w:tblGrid>
      <w:tr w:rsidR="008023C3" w:rsidRPr="008023C3" w14:paraId="4EFED1F4" w14:textId="77777777" w:rsidTr="00A76720">
        <w:trPr>
          <w:tblHeader/>
        </w:trPr>
        <w:tc>
          <w:tcPr>
            <w:tcW w:w="3995"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8E889FE" w14:textId="6E219BFD" w:rsidR="008023C3" w:rsidRPr="008023C3" w:rsidRDefault="008023C3" w:rsidP="00B90EE6">
            <w:pPr>
              <w:pStyle w:val="Tableheading"/>
            </w:pPr>
            <w:r w:rsidRPr="008023C3">
              <w:t>Your success profile for this role</w:t>
            </w:r>
          </w:p>
        </w:tc>
        <w:tc>
          <w:tcPr>
            <w:tcW w:w="5520"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3C02B5A2" w14:textId="77777777" w:rsidR="008023C3" w:rsidRPr="008023C3" w:rsidRDefault="008023C3" w:rsidP="00B90EE6">
            <w:pPr>
              <w:pStyle w:val="Tableheading"/>
            </w:pPr>
            <w:r w:rsidRPr="008023C3">
              <w:t>What you will bring specifically</w:t>
            </w:r>
          </w:p>
        </w:tc>
      </w:tr>
      <w:tr w:rsidR="008023C3" w:rsidRPr="008023C3" w14:paraId="545524AB" w14:textId="77777777" w:rsidTr="00A76720">
        <w:tc>
          <w:tcPr>
            <w:tcW w:w="3995" w:type="dxa"/>
            <w:tcBorders>
              <w:top w:val="nil"/>
              <w:left w:val="nil"/>
              <w:bottom w:val="single" w:sz="6" w:space="0" w:color="1F546B" w:themeColor="text2"/>
              <w:right w:val="single" w:sz="6" w:space="0" w:color="1F546B" w:themeColor="text2"/>
            </w:tcBorders>
          </w:tcPr>
          <w:p w14:paraId="20C97022"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00820EC3" w:rsidRPr="00E51061">
                <w:rPr>
                  <w:rStyle w:val="Hyperlink"/>
                </w:rPr>
                <w:t>Specialist</w:t>
              </w:r>
            </w:hyperlink>
            <w:r w:rsidR="001D30D4">
              <w:t>.</w:t>
            </w:r>
            <w:r w:rsidRPr="008023C3">
              <w:br/>
            </w:r>
            <w:r w:rsidRPr="008023C3">
              <w:br/>
            </w:r>
            <w:r w:rsidRPr="009E40D1">
              <w:rPr>
                <w:b/>
                <w:bCs/>
              </w:rPr>
              <w:t>Keys to Success:</w:t>
            </w:r>
          </w:p>
          <w:p w14:paraId="6ADF90CE" w14:textId="77777777" w:rsidR="00820EC3" w:rsidRDefault="00820EC3" w:rsidP="00820EC3">
            <w:pPr>
              <w:pStyle w:val="Tablebullet"/>
            </w:pPr>
            <w:r>
              <w:t>Problem solving</w:t>
            </w:r>
          </w:p>
          <w:p w14:paraId="1DC3217B" w14:textId="77777777" w:rsidR="00820EC3" w:rsidRDefault="00820EC3" w:rsidP="00820EC3">
            <w:pPr>
              <w:pStyle w:val="Tablebullet"/>
            </w:pPr>
            <w:r>
              <w:t>Critical thinking</w:t>
            </w:r>
          </w:p>
          <w:p w14:paraId="61E81BDC" w14:textId="77777777" w:rsidR="00820EC3" w:rsidRDefault="00820EC3" w:rsidP="00820EC3">
            <w:pPr>
              <w:pStyle w:val="Tablebullet"/>
            </w:pPr>
            <w:r>
              <w:t>Interpersonal savvy</w:t>
            </w:r>
          </w:p>
          <w:p w14:paraId="2081BF42" w14:textId="77777777" w:rsidR="00820EC3" w:rsidRDefault="00820EC3" w:rsidP="00820EC3">
            <w:pPr>
              <w:pStyle w:val="Tablebullet"/>
            </w:pPr>
            <w:r>
              <w:t>Navigating complexity</w:t>
            </w:r>
          </w:p>
          <w:p w14:paraId="2C9315E1" w14:textId="77777777" w:rsidR="00820EC3" w:rsidRDefault="00820EC3" w:rsidP="00820EC3">
            <w:pPr>
              <w:pStyle w:val="Tablebullet"/>
            </w:pPr>
            <w:r>
              <w:t>Communicating with influence</w:t>
            </w:r>
          </w:p>
          <w:p w14:paraId="21BB167B" w14:textId="77777777" w:rsidR="008023C3" w:rsidRPr="008023C3" w:rsidRDefault="00820EC3" w:rsidP="00820EC3">
            <w:pPr>
              <w:pStyle w:val="Tablebullet"/>
            </w:pPr>
            <w:r>
              <w:t>Technical and specialist learning</w:t>
            </w:r>
          </w:p>
        </w:tc>
        <w:tc>
          <w:tcPr>
            <w:tcW w:w="5520" w:type="dxa"/>
            <w:tcBorders>
              <w:top w:val="nil"/>
              <w:left w:val="single" w:sz="6" w:space="0" w:color="1F546B" w:themeColor="text2"/>
              <w:bottom w:val="single" w:sz="6" w:space="0" w:color="1F546B" w:themeColor="text2"/>
              <w:right w:val="nil"/>
            </w:tcBorders>
          </w:tcPr>
          <w:p w14:paraId="215A39F0" w14:textId="77777777" w:rsidR="008023C3" w:rsidRPr="001D30D4" w:rsidRDefault="008023C3" w:rsidP="001D30D4">
            <w:pPr>
              <w:pStyle w:val="Tablenormal0"/>
              <w:rPr>
                <w:b/>
                <w:bCs/>
              </w:rPr>
            </w:pPr>
            <w:r w:rsidRPr="001D30D4">
              <w:rPr>
                <w:b/>
                <w:bCs/>
              </w:rPr>
              <w:t xml:space="preserve">Experience: </w:t>
            </w:r>
          </w:p>
          <w:p w14:paraId="210ECBE1" w14:textId="5CBE6993" w:rsidR="000D5A8A" w:rsidRPr="00F15835" w:rsidRDefault="000D5A8A" w:rsidP="00F15835">
            <w:pPr>
              <w:pStyle w:val="Tablebullet"/>
              <w:autoSpaceDE w:val="0"/>
              <w:autoSpaceDN w:val="0"/>
              <w:adjustRightInd w:val="0"/>
              <w:spacing w:before="0" w:after="0"/>
            </w:pPr>
            <w:r w:rsidRPr="00F15835">
              <w:t>Proven</w:t>
            </w:r>
            <w:r w:rsidRPr="000D5A8A">
              <w:rPr>
                <w:rFonts w:cs="Calibri"/>
                <w:lang w:eastAsia="en-NZ"/>
              </w:rPr>
              <w:t xml:space="preserve"> experience in providing efficient and effective </w:t>
            </w:r>
            <w:r w:rsidRPr="00F15835">
              <w:t>administration</w:t>
            </w:r>
            <w:r w:rsidRPr="000D5A8A">
              <w:rPr>
                <w:rFonts w:cs="Calibri"/>
                <w:lang w:eastAsia="en-NZ"/>
              </w:rPr>
              <w:t xml:space="preserve"> services to senior executive team</w:t>
            </w:r>
            <w:r>
              <w:rPr>
                <w:rFonts w:cs="Calibri"/>
                <w:lang w:eastAsia="en-NZ"/>
              </w:rPr>
              <w:t>s</w:t>
            </w:r>
            <w:r w:rsidRPr="000D5A8A">
              <w:rPr>
                <w:rFonts w:cs="Calibri"/>
                <w:lang w:eastAsia="en-NZ"/>
              </w:rPr>
              <w:t xml:space="preserve"> or advisory or statutory bod</w:t>
            </w:r>
            <w:r>
              <w:rPr>
                <w:rFonts w:cs="Calibri"/>
                <w:lang w:eastAsia="en-NZ"/>
              </w:rPr>
              <w:t>ies</w:t>
            </w:r>
          </w:p>
          <w:p w14:paraId="1D6D6A15" w14:textId="60E735FB" w:rsidR="00602DFC" w:rsidRDefault="00602DFC" w:rsidP="00F15835">
            <w:pPr>
              <w:pStyle w:val="Tablebullet"/>
              <w:autoSpaceDE w:val="0"/>
              <w:autoSpaceDN w:val="0"/>
              <w:adjustRightInd w:val="0"/>
              <w:spacing w:before="0" w:after="0"/>
            </w:pPr>
            <w:r w:rsidRPr="009F21E5">
              <w:t>Significant experience</w:t>
            </w:r>
            <w:r>
              <w:t xml:space="preserve"> in leading and positively influencing culture and management buy-in in large and diverse organisations </w:t>
            </w:r>
          </w:p>
          <w:p w14:paraId="098B5C75" w14:textId="77777777" w:rsidR="00602DFC" w:rsidRDefault="00602DFC" w:rsidP="00556A5C">
            <w:pPr>
              <w:pStyle w:val="Tablebullet"/>
            </w:pPr>
            <w:r>
              <w:t>Demonstrated experience in making decisions about complex issues, problem solving to get a good outcome and implementing difficult decisions.</w:t>
            </w:r>
          </w:p>
          <w:p w14:paraId="4266AA27" w14:textId="005886D7" w:rsidR="008023C3" w:rsidRPr="001D30D4" w:rsidRDefault="00602DFC" w:rsidP="00556A5C">
            <w:pPr>
              <w:pStyle w:val="Tablebullet"/>
            </w:pPr>
            <w:r w:rsidRPr="00477B7A">
              <w:t>Sound judgement</w:t>
            </w:r>
            <w:r w:rsidR="00D47144">
              <w:t xml:space="preserve"> and tact </w:t>
            </w:r>
            <w:r w:rsidRPr="00477B7A">
              <w:t>in dealing with complex, sensitive or ambiguous issues</w:t>
            </w:r>
          </w:p>
          <w:p w14:paraId="388C9616" w14:textId="3680D814" w:rsidR="000D5A8A" w:rsidRPr="00061A77" w:rsidRDefault="000D5A8A" w:rsidP="000D5A8A">
            <w:pPr>
              <w:pStyle w:val="Tablebullet"/>
            </w:pPr>
            <w:r>
              <w:t xml:space="preserve">Proven record of delivering quality work within tight and competing timeframes </w:t>
            </w:r>
          </w:p>
          <w:p w14:paraId="779A761A" w14:textId="77777777" w:rsidR="008023C3" w:rsidRPr="001D30D4" w:rsidRDefault="008023C3" w:rsidP="001D30D4">
            <w:pPr>
              <w:pStyle w:val="Tablenormal0"/>
              <w:rPr>
                <w:b/>
                <w:bCs/>
              </w:rPr>
            </w:pPr>
            <w:r w:rsidRPr="001D30D4">
              <w:rPr>
                <w:b/>
                <w:bCs/>
              </w:rPr>
              <w:t>Knowledge:</w:t>
            </w:r>
          </w:p>
          <w:p w14:paraId="6CF0B188" w14:textId="42C1EB20" w:rsidR="008023C3" w:rsidRPr="001D30D4" w:rsidRDefault="00602DFC" w:rsidP="00556A5C">
            <w:pPr>
              <w:pStyle w:val="Tablebullet"/>
            </w:pPr>
            <w:r>
              <w:t>Experienced senior manager or specialist with a general understanding of risk management principles and their application across large and diverse organisation</w:t>
            </w:r>
            <w:r w:rsidR="00D47144">
              <w:t>s</w:t>
            </w:r>
          </w:p>
          <w:p w14:paraId="4BFA612F" w14:textId="2807F72F" w:rsidR="00D47144" w:rsidRPr="00F15835" w:rsidRDefault="00D47144" w:rsidP="00016043">
            <w:pPr>
              <w:pStyle w:val="Tablebullet"/>
              <w:rPr>
                <w:rFonts w:cs="Arial"/>
                <w:i/>
                <w:szCs w:val="22"/>
              </w:rPr>
            </w:pPr>
            <w:r>
              <w:t>Sound understanding of NZ P</w:t>
            </w:r>
            <w:r w:rsidR="00016043" w:rsidRPr="00061A77">
              <w:t xml:space="preserve">ublic </w:t>
            </w:r>
            <w:r>
              <w:t>S</w:t>
            </w:r>
            <w:r w:rsidR="00016043" w:rsidRPr="00061A77">
              <w:t xml:space="preserve">ector management </w:t>
            </w:r>
            <w:r>
              <w:t>processes, conventions and functions</w:t>
            </w:r>
          </w:p>
          <w:p w14:paraId="68D79521" w14:textId="77777777" w:rsidR="008023C3" w:rsidRPr="001D30D4" w:rsidRDefault="008023C3" w:rsidP="001D30D4">
            <w:pPr>
              <w:pStyle w:val="Tablenormal0"/>
              <w:rPr>
                <w:b/>
                <w:bCs/>
              </w:rPr>
            </w:pPr>
            <w:r w:rsidRPr="001D30D4">
              <w:rPr>
                <w:b/>
                <w:bCs/>
              </w:rPr>
              <w:t>Skills:</w:t>
            </w:r>
          </w:p>
          <w:p w14:paraId="31811464" w14:textId="77777777" w:rsidR="00602DFC" w:rsidRDefault="00602DFC" w:rsidP="00556A5C">
            <w:pPr>
              <w:pStyle w:val="Tablebullet"/>
            </w:pPr>
            <w:r>
              <w:t>Ability to relate to and gain the confidence of diverse stakeholders, both internal and external and the ability to communicate with credibility</w:t>
            </w:r>
          </w:p>
          <w:p w14:paraId="3FF80E67" w14:textId="77777777" w:rsidR="00602DFC" w:rsidRPr="00061A77" w:rsidRDefault="00602DFC" w:rsidP="00556A5C">
            <w:pPr>
              <w:pStyle w:val="Tablebullet"/>
            </w:pPr>
            <w:r w:rsidRPr="00061A77">
              <w:t>Excellent relationship management, negotiation and communication skills both oral and written.</w:t>
            </w:r>
          </w:p>
          <w:p w14:paraId="2A4D6999" w14:textId="068EA0B9" w:rsidR="00602DFC" w:rsidRPr="00061A77" w:rsidRDefault="00602DFC" w:rsidP="00556A5C">
            <w:pPr>
              <w:pStyle w:val="Tablebullet"/>
            </w:pPr>
            <w:r w:rsidRPr="00061A77">
              <w:t>Strong analytical skills and ability to think strategically</w:t>
            </w:r>
          </w:p>
          <w:p w14:paraId="76D8E6CC" w14:textId="687E5E9C" w:rsidR="00602DFC" w:rsidRPr="00061A77" w:rsidRDefault="00602DFC" w:rsidP="00556A5C">
            <w:pPr>
              <w:pStyle w:val="Tablebullet"/>
            </w:pPr>
            <w:r w:rsidRPr="00061A77">
              <w:t>Strong project management</w:t>
            </w:r>
            <w:r w:rsidR="00D47144">
              <w:t xml:space="preserve">, </w:t>
            </w:r>
            <w:r w:rsidRPr="00061A77">
              <w:t xml:space="preserve">organisational </w:t>
            </w:r>
            <w:r w:rsidR="00D47144">
              <w:t xml:space="preserve">and priority setting </w:t>
            </w:r>
            <w:r w:rsidRPr="00061A77">
              <w:t>skills.</w:t>
            </w:r>
          </w:p>
          <w:p w14:paraId="7EA4E3F1" w14:textId="49F55624" w:rsidR="008023C3" w:rsidRPr="001D30D4" w:rsidRDefault="00602DFC" w:rsidP="00556A5C">
            <w:pPr>
              <w:pStyle w:val="Tablebullet"/>
            </w:pPr>
            <w:r w:rsidRPr="00061A77">
              <w:t>A high level of computer literacy and good numeracy skills</w:t>
            </w:r>
          </w:p>
          <w:p w14:paraId="16C99A73" w14:textId="77777777" w:rsidR="008023C3" w:rsidRPr="001D30D4" w:rsidRDefault="008023C3" w:rsidP="001D30D4">
            <w:pPr>
              <w:pStyle w:val="Tablenormal0"/>
              <w:rPr>
                <w:b/>
                <w:bCs/>
              </w:rPr>
            </w:pPr>
            <w:r w:rsidRPr="001D30D4">
              <w:rPr>
                <w:b/>
                <w:bCs/>
              </w:rPr>
              <w:t>Other requirements:</w:t>
            </w:r>
          </w:p>
          <w:p w14:paraId="4F36F808" w14:textId="77777777" w:rsidR="00556A5C" w:rsidRPr="00285BA0" w:rsidRDefault="00556A5C" w:rsidP="00556A5C">
            <w:pPr>
              <w:pStyle w:val="Tablebullet"/>
              <w:rPr>
                <w:rFonts w:eastAsia="Calibri" w:cs="Calibri"/>
              </w:rPr>
            </w:pPr>
            <w:r>
              <w:t>A</w:t>
            </w:r>
            <w:r>
              <w:rPr>
                <w:spacing w:val="-3"/>
              </w:rPr>
              <w:t xml:space="preserve"> </w:t>
            </w:r>
            <w:r>
              <w:t>relevant</w:t>
            </w:r>
            <w:r>
              <w:rPr>
                <w:spacing w:val="-5"/>
              </w:rPr>
              <w:t xml:space="preserve"> </w:t>
            </w:r>
            <w:r>
              <w:t>tertiary</w:t>
            </w:r>
            <w:r>
              <w:rPr>
                <w:spacing w:val="-7"/>
              </w:rPr>
              <w:t xml:space="preserve"> </w:t>
            </w:r>
            <w:r>
              <w:t>qualification</w:t>
            </w:r>
            <w:r>
              <w:rPr>
                <w:spacing w:val="-4"/>
              </w:rPr>
              <w:t xml:space="preserve"> </w:t>
            </w:r>
            <w:r>
              <w:t>is</w:t>
            </w:r>
            <w:r>
              <w:rPr>
                <w:spacing w:val="-4"/>
              </w:rPr>
              <w:t xml:space="preserve"> </w:t>
            </w:r>
            <w:r>
              <w:t>highly</w:t>
            </w:r>
            <w:r>
              <w:rPr>
                <w:spacing w:val="45"/>
              </w:rPr>
              <w:t xml:space="preserve"> </w:t>
            </w:r>
            <w:r>
              <w:t>desirable</w:t>
            </w:r>
          </w:p>
          <w:p w14:paraId="0AD624F9" w14:textId="77777777" w:rsidR="008023C3" w:rsidRPr="001D30D4" w:rsidRDefault="00556A5C" w:rsidP="00556A5C">
            <w:pPr>
              <w:pStyle w:val="Tablebullet"/>
            </w:pPr>
            <w:r>
              <w:t>Ability</w:t>
            </w:r>
            <w:r>
              <w:rPr>
                <w:spacing w:val="-5"/>
              </w:rPr>
              <w:t xml:space="preserve"> </w:t>
            </w:r>
            <w:r>
              <w:t>to</w:t>
            </w:r>
            <w:r>
              <w:rPr>
                <w:spacing w:val="-4"/>
              </w:rPr>
              <w:t xml:space="preserve"> </w:t>
            </w:r>
            <w:r>
              <w:t>obtain</w:t>
            </w:r>
            <w:r>
              <w:rPr>
                <w:spacing w:val="-2"/>
              </w:rPr>
              <w:t xml:space="preserve"> </w:t>
            </w:r>
            <w:r>
              <w:t>and retain a confidential</w:t>
            </w:r>
            <w:r>
              <w:rPr>
                <w:spacing w:val="25"/>
              </w:rPr>
              <w:t xml:space="preserve"> </w:t>
            </w:r>
            <w:r>
              <w:t>security</w:t>
            </w:r>
            <w:r>
              <w:rPr>
                <w:spacing w:val="-9"/>
              </w:rPr>
              <w:t xml:space="preserve"> </w:t>
            </w:r>
            <w:r>
              <w:t>clearance if required</w:t>
            </w:r>
          </w:p>
        </w:tc>
      </w:tr>
    </w:tbl>
    <w:p w14:paraId="616CA782" w14:textId="77777777" w:rsidR="001676BD" w:rsidRPr="00B90EE6" w:rsidRDefault="001676BD" w:rsidP="00B90EE6">
      <w:pPr>
        <w:pStyle w:val="Tinyline"/>
      </w:pPr>
    </w:p>
    <w:sectPr w:rsidR="001676BD" w:rsidRPr="00B90EE6" w:rsidSect="00A76720">
      <w:type w:val="continuous"/>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BA04" w14:textId="77777777" w:rsidR="007C6D14" w:rsidRDefault="007C6D14">
      <w:r>
        <w:separator/>
      </w:r>
    </w:p>
    <w:p w14:paraId="348AF33C" w14:textId="77777777" w:rsidR="007C6D14" w:rsidRDefault="007C6D14"/>
    <w:p w14:paraId="51A21F16" w14:textId="77777777" w:rsidR="007C6D14" w:rsidRDefault="007C6D14"/>
  </w:endnote>
  <w:endnote w:type="continuationSeparator" w:id="0">
    <w:p w14:paraId="538F641C" w14:textId="77777777" w:rsidR="007C6D14" w:rsidRDefault="007C6D14">
      <w:r>
        <w:continuationSeparator/>
      </w:r>
    </w:p>
    <w:p w14:paraId="3F006D33" w14:textId="77777777" w:rsidR="007C6D14" w:rsidRDefault="007C6D14"/>
    <w:p w14:paraId="0E6A0E01" w14:textId="77777777" w:rsidR="007C6D14" w:rsidRDefault="007C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4E7D"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r w:rsidR="00A75AA4">
      <w:rPr>
        <w:noProof/>
      </w:rPr>
      <w:fldChar w:fldCharType="begin"/>
    </w:r>
    <w:r w:rsidR="00A75AA4">
      <w:rPr>
        <w:noProof/>
      </w:rPr>
      <w:instrText xml:space="preserve"> NUMPAGES   \* MERGEFORMAT </w:instrText>
    </w:r>
    <w:r w:rsidR="00A75AA4">
      <w:rPr>
        <w:noProof/>
      </w:rPr>
      <w:fldChar w:fldCharType="separate"/>
    </w:r>
    <w:r w:rsidR="002360F3">
      <w:rPr>
        <w:noProof/>
      </w:rPr>
      <w:t>2</w:t>
    </w:r>
    <w:r w:rsidR="00A75A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162C"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1BF1" w14:textId="77777777" w:rsidR="007C6D14" w:rsidRDefault="007C6D14" w:rsidP="00FB1990">
      <w:pPr>
        <w:pStyle w:val="Spacer"/>
      </w:pPr>
      <w:r>
        <w:separator/>
      </w:r>
    </w:p>
    <w:p w14:paraId="1533ADBE" w14:textId="77777777" w:rsidR="007C6D14" w:rsidRDefault="007C6D14" w:rsidP="00FB1990">
      <w:pPr>
        <w:pStyle w:val="Spacer"/>
      </w:pPr>
    </w:p>
  </w:footnote>
  <w:footnote w:type="continuationSeparator" w:id="0">
    <w:p w14:paraId="7A9D068C" w14:textId="77777777" w:rsidR="007C6D14" w:rsidRDefault="007C6D14">
      <w:r>
        <w:continuationSeparator/>
      </w:r>
    </w:p>
    <w:p w14:paraId="75110F5C" w14:textId="77777777" w:rsidR="007C6D14" w:rsidRDefault="007C6D14"/>
    <w:p w14:paraId="2A8728D8" w14:textId="77777777" w:rsidR="007C6D14" w:rsidRDefault="007C6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D796" w14:textId="77777777" w:rsidR="00735BFF" w:rsidRDefault="00735BFF" w:rsidP="00C40EAE">
    <w:pPr>
      <w:pStyle w:val="Header"/>
      <w:jc w:val="right"/>
    </w:pPr>
    <w:r w:rsidRPr="00CD3498">
      <w:tab/>
      <w:t>Te Tari Taiwhenua</w:t>
    </w:r>
  </w:p>
  <w:p w14:paraId="45A39A6A"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C3AC"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3C08AD"/>
    <w:multiLevelType w:val="hybridMultilevel"/>
    <w:tmpl w:val="F08E1B74"/>
    <w:lvl w:ilvl="0" w:tplc="7B145246">
      <w:start w:val="1"/>
      <w:numFmt w:val="bullet"/>
      <w:lvlText w:val=""/>
      <w:lvlJc w:val="left"/>
      <w:pPr>
        <w:ind w:left="457" w:hanging="358"/>
      </w:pPr>
      <w:rPr>
        <w:rFonts w:ascii="Symbol" w:eastAsia="Symbol" w:hAnsi="Symbol" w:hint="default"/>
        <w:sz w:val="18"/>
        <w:szCs w:val="18"/>
      </w:rPr>
    </w:lvl>
    <w:lvl w:ilvl="1" w:tplc="BDD66314">
      <w:start w:val="1"/>
      <w:numFmt w:val="bullet"/>
      <w:lvlText w:val="•"/>
      <w:lvlJc w:val="left"/>
      <w:pPr>
        <w:ind w:left="804" w:hanging="358"/>
      </w:pPr>
      <w:rPr>
        <w:rFonts w:hint="default"/>
      </w:rPr>
    </w:lvl>
    <w:lvl w:ilvl="2" w:tplc="82B82C82">
      <w:start w:val="1"/>
      <w:numFmt w:val="bullet"/>
      <w:lvlText w:val="•"/>
      <w:lvlJc w:val="left"/>
      <w:pPr>
        <w:ind w:left="1151" w:hanging="358"/>
      </w:pPr>
      <w:rPr>
        <w:rFonts w:hint="default"/>
      </w:rPr>
    </w:lvl>
    <w:lvl w:ilvl="3" w:tplc="E6FCDF8A">
      <w:start w:val="1"/>
      <w:numFmt w:val="bullet"/>
      <w:lvlText w:val="•"/>
      <w:lvlJc w:val="left"/>
      <w:pPr>
        <w:ind w:left="1498" w:hanging="358"/>
      </w:pPr>
      <w:rPr>
        <w:rFonts w:hint="default"/>
      </w:rPr>
    </w:lvl>
    <w:lvl w:ilvl="4" w:tplc="370AC38C">
      <w:start w:val="1"/>
      <w:numFmt w:val="bullet"/>
      <w:lvlText w:val="•"/>
      <w:lvlJc w:val="left"/>
      <w:pPr>
        <w:ind w:left="1844" w:hanging="358"/>
      </w:pPr>
      <w:rPr>
        <w:rFonts w:hint="default"/>
      </w:rPr>
    </w:lvl>
    <w:lvl w:ilvl="5" w:tplc="6002AA96">
      <w:start w:val="1"/>
      <w:numFmt w:val="bullet"/>
      <w:lvlText w:val="•"/>
      <w:lvlJc w:val="left"/>
      <w:pPr>
        <w:ind w:left="2191" w:hanging="358"/>
      </w:pPr>
      <w:rPr>
        <w:rFonts w:hint="default"/>
      </w:rPr>
    </w:lvl>
    <w:lvl w:ilvl="6" w:tplc="CB4CD37A">
      <w:start w:val="1"/>
      <w:numFmt w:val="bullet"/>
      <w:lvlText w:val="•"/>
      <w:lvlJc w:val="left"/>
      <w:pPr>
        <w:ind w:left="2538" w:hanging="358"/>
      </w:pPr>
      <w:rPr>
        <w:rFonts w:hint="default"/>
      </w:rPr>
    </w:lvl>
    <w:lvl w:ilvl="7" w:tplc="AD9CD056">
      <w:start w:val="1"/>
      <w:numFmt w:val="bullet"/>
      <w:lvlText w:val="•"/>
      <w:lvlJc w:val="left"/>
      <w:pPr>
        <w:ind w:left="2885" w:hanging="358"/>
      </w:pPr>
      <w:rPr>
        <w:rFonts w:hint="default"/>
      </w:rPr>
    </w:lvl>
    <w:lvl w:ilvl="8" w:tplc="1D965BCA">
      <w:start w:val="1"/>
      <w:numFmt w:val="bullet"/>
      <w:lvlText w:val="•"/>
      <w:lvlJc w:val="left"/>
      <w:pPr>
        <w:ind w:left="3232" w:hanging="358"/>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972C67"/>
    <w:multiLevelType w:val="hybridMultilevel"/>
    <w:tmpl w:val="FDAA161A"/>
    <w:lvl w:ilvl="0" w:tplc="232CC03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3F212F"/>
    <w:multiLevelType w:val="hybridMultilevel"/>
    <w:tmpl w:val="975AF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4E1C6F"/>
    <w:multiLevelType w:val="hybridMultilevel"/>
    <w:tmpl w:val="DF48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4CD37EF"/>
    <w:multiLevelType w:val="hybridMultilevel"/>
    <w:tmpl w:val="213A388E"/>
    <w:lvl w:ilvl="0" w:tplc="321A66CE">
      <w:start w:val="1"/>
      <w:numFmt w:val="bullet"/>
      <w:lvlText w:val=""/>
      <w:lvlJc w:val="left"/>
      <w:pPr>
        <w:ind w:left="466" w:hanging="359"/>
      </w:pPr>
      <w:rPr>
        <w:rFonts w:ascii="Symbol" w:eastAsia="Symbol" w:hAnsi="Symbol" w:hint="default"/>
        <w:sz w:val="18"/>
        <w:szCs w:val="18"/>
      </w:rPr>
    </w:lvl>
    <w:lvl w:ilvl="1" w:tplc="4E5CB180">
      <w:start w:val="1"/>
      <w:numFmt w:val="bullet"/>
      <w:lvlText w:val="•"/>
      <w:lvlJc w:val="left"/>
      <w:pPr>
        <w:ind w:left="1000" w:hanging="359"/>
      </w:pPr>
      <w:rPr>
        <w:rFonts w:hint="default"/>
      </w:rPr>
    </w:lvl>
    <w:lvl w:ilvl="2" w:tplc="E8349EA8">
      <w:start w:val="1"/>
      <w:numFmt w:val="bullet"/>
      <w:lvlText w:val="•"/>
      <w:lvlJc w:val="left"/>
      <w:pPr>
        <w:ind w:left="1534" w:hanging="359"/>
      </w:pPr>
      <w:rPr>
        <w:rFonts w:hint="default"/>
      </w:rPr>
    </w:lvl>
    <w:lvl w:ilvl="3" w:tplc="FF2CE2E4">
      <w:start w:val="1"/>
      <w:numFmt w:val="bullet"/>
      <w:lvlText w:val="•"/>
      <w:lvlJc w:val="left"/>
      <w:pPr>
        <w:ind w:left="2068" w:hanging="359"/>
      </w:pPr>
      <w:rPr>
        <w:rFonts w:hint="default"/>
      </w:rPr>
    </w:lvl>
    <w:lvl w:ilvl="4" w:tplc="CEC879F4">
      <w:start w:val="1"/>
      <w:numFmt w:val="bullet"/>
      <w:lvlText w:val="•"/>
      <w:lvlJc w:val="left"/>
      <w:pPr>
        <w:ind w:left="2602" w:hanging="359"/>
      </w:pPr>
      <w:rPr>
        <w:rFonts w:hint="default"/>
      </w:rPr>
    </w:lvl>
    <w:lvl w:ilvl="5" w:tplc="24C4D6E8">
      <w:start w:val="1"/>
      <w:numFmt w:val="bullet"/>
      <w:lvlText w:val="•"/>
      <w:lvlJc w:val="left"/>
      <w:pPr>
        <w:ind w:left="3136" w:hanging="359"/>
      </w:pPr>
      <w:rPr>
        <w:rFonts w:hint="default"/>
      </w:rPr>
    </w:lvl>
    <w:lvl w:ilvl="6" w:tplc="377E5586">
      <w:start w:val="1"/>
      <w:numFmt w:val="bullet"/>
      <w:lvlText w:val="•"/>
      <w:lvlJc w:val="left"/>
      <w:pPr>
        <w:ind w:left="3670" w:hanging="359"/>
      </w:pPr>
      <w:rPr>
        <w:rFonts w:hint="default"/>
      </w:rPr>
    </w:lvl>
    <w:lvl w:ilvl="7" w:tplc="55922E5A">
      <w:start w:val="1"/>
      <w:numFmt w:val="bullet"/>
      <w:lvlText w:val="•"/>
      <w:lvlJc w:val="left"/>
      <w:pPr>
        <w:ind w:left="4204" w:hanging="359"/>
      </w:pPr>
      <w:rPr>
        <w:rFonts w:hint="default"/>
      </w:rPr>
    </w:lvl>
    <w:lvl w:ilvl="8" w:tplc="C28037DA">
      <w:start w:val="1"/>
      <w:numFmt w:val="bullet"/>
      <w:lvlText w:val="•"/>
      <w:lvlJc w:val="left"/>
      <w:pPr>
        <w:ind w:left="4738" w:hanging="359"/>
      </w:pPr>
      <w:rPr>
        <w:rFonts w:hint="default"/>
      </w:r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7AC23B4"/>
    <w:multiLevelType w:val="hybridMultilevel"/>
    <w:tmpl w:val="45FA04D2"/>
    <w:lvl w:ilvl="0" w:tplc="31EEC724">
      <w:start w:val="829"/>
      <w:numFmt w:val="bullet"/>
      <w:lvlText w:val="-"/>
      <w:lvlJc w:val="left"/>
      <w:pPr>
        <w:ind w:left="720" w:hanging="360"/>
      </w:pPr>
      <w:rPr>
        <w:rFonts w:ascii="Calibri" w:eastAsiaTheme="minorHAnsi" w:hAnsi="Calibri" w:cs="Calibri"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5" w15:restartNumberingAfterBreak="0">
    <w:nsid w:val="5DC232E0"/>
    <w:multiLevelType w:val="hybridMultilevel"/>
    <w:tmpl w:val="957C1E6E"/>
    <w:lvl w:ilvl="0" w:tplc="20BAE70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6"/>
  </w:num>
  <w:num w:numId="9">
    <w:abstractNumId w:val="18"/>
  </w:num>
  <w:num w:numId="10">
    <w:abstractNumId w:val="11"/>
  </w:num>
  <w:num w:numId="11">
    <w:abstractNumId w:val="27"/>
  </w:num>
  <w:num w:numId="12">
    <w:abstractNumId w:val="29"/>
  </w:num>
  <w:num w:numId="13">
    <w:abstractNumId w:val="31"/>
  </w:num>
  <w:num w:numId="14">
    <w:abstractNumId w:val="7"/>
  </w:num>
  <w:num w:numId="15">
    <w:abstractNumId w:val="16"/>
  </w:num>
  <w:num w:numId="16">
    <w:abstractNumId w:val="32"/>
  </w:num>
  <w:num w:numId="17">
    <w:abstractNumId w:val="30"/>
  </w:num>
  <w:num w:numId="18">
    <w:abstractNumId w:val="28"/>
  </w:num>
  <w:num w:numId="19">
    <w:abstractNumId w:val="20"/>
  </w:num>
  <w:num w:numId="20">
    <w:abstractNumId w:val="17"/>
  </w:num>
  <w:num w:numId="21">
    <w:abstractNumId w:val="10"/>
  </w:num>
  <w:num w:numId="22">
    <w:abstractNumId w:val="6"/>
  </w:num>
  <w:num w:numId="23">
    <w:abstractNumId w:val="12"/>
  </w:num>
  <w:num w:numId="24">
    <w:abstractNumId w:val="9"/>
  </w:num>
  <w:num w:numId="25">
    <w:abstractNumId w:val="24"/>
  </w:num>
  <w:num w:numId="26">
    <w:abstractNumId w:val="23"/>
  </w:num>
  <w:num w:numId="27">
    <w:abstractNumId w:val="27"/>
  </w:num>
  <w:num w:numId="28">
    <w:abstractNumId w:val="29"/>
  </w:num>
  <w:num w:numId="29">
    <w:abstractNumId w:val="27"/>
  </w:num>
  <w:num w:numId="30">
    <w:abstractNumId w:val="27"/>
  </w:num>
  <w:num w:numId="31">
    <w:abstractNumId w:val="29"/>
  </w:num>
  <w:num w:numId="32">
    <w:abstractNumId w:val="29"/>
  </w:num>
  <w:num w:numId="33">
    <w:abstractNumId w:val="29"/>
  </w:num>
  <w:num w:numId="34">
    <w:abstractNumId w:val="25"/>
  </w:num>
  <w:num w:numId="35">
    <w:abstractNumId w:val="15"/>
  </w:num>
  <w:num w:numId="36">
    <w:abstractNumId w:val="29"/>
  </w:num>
  <w:num w:numId="37">
    <w:abstractNumId w:val="29"/>
  </w:num>
  <w:num w:numId="38">
    <w:abstractNumId w:val="14"/>
  </w:num>
  <w:num w:numId="39">
    <w:abstractNumId w:val="19"/>
  </w:num>
  <w:num w:numId="40">
    <w:abstractNumId w:val="8"/>
  </w:num>
  <w:num w:numId="41">
    <w:abstractNumId w:val="13"/>
  </w:num>
  <w:num w:numId="42">
    <w:abstractNumId w:val="21"/>
  </w:num>
  <w:num w:numId="43">
    <w:abstractNumId w:val="29"/>
  </w:num>
  <w:num w:numId="4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4"/>
    <w:rsid w:val="00003360"/>
    <w:rsid w:val="00003FC7"/>
    <w:rsid w:val="00005919"/>
    <w:rsid w:val="00007C42"/>
    <w:rsid w:val="00015020"/>
    <w:rsid w:val="00016043"/>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C4973"/>
    <w:rsid w:val="000D5A8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2D6C3C"/>
    <w:rsid w:val="0030084C"/>
    <w:rsid w:val="003039E1"/>
    <w:rsid w:val="003129BA"/>
    <w:rsid w:val="003148FC"/>
    <w:rsid w:val="0032132E"/>
    <w:rsid w:val="00330820"/>
    <w:rsid w:val="0033519C"/>
    <w:rsid w:val="00342D5B"/>
    <w:rsid w:val="00343F23"/>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3DEE"/>
    <w:rsid w:val="00486E6E"/>
    <w:rsid w:val="004875DF"/>
    <w:rsid w:val="00487C1D"/>
    <w:rsid w:val="00494C6F"/>
    <w:rsid w:val="004A18AF"/>
    <w:rsid w:val="004A5823"/>
    <w:rsid w:val="004B0AAF"/>
    <w:rsid w:val="004B214C"/>
    <w:rsid w:val="004B3924"/>
    <w:rsid w:val="004C4229"/>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4796"/>
    <w:rsid w:val="0052216D"/>
    <w:rsid w:val="00526115"/>
    <w:rsid w:val="00533FAF"/>
    <w:rsid w:val="00535DF5"/>
    <w:rsid w:val="005366B6"/>
    <w:rsid w:val="00552192"/>
    <w:rsid w:val="00554BCD"/>
    <w:rsid w:val="00555F60"/>
    <w:rsid w:val="00556A5C"/>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2023"/>
    <w:rsid w:val="005B7254"/>
    <w:rsid w:val="005D3066"/>
    <w:rsid w:val="005D6013"/>
    <w:rsid w:val="005E252A"/>
    <w:rsid w:val="005E4B13"/>
    <w:rsid w:val="005E4C02"/>
    <w:rsid w:val="005F01DF"/>
    <w:rsid w:val="005F76CC"/>
    <w:rsid w:val="005F7FE0"/>
    <w:rsid w:val="005F7FF8"/>
    <w:rsid w:val="006004C4"/>
    <w:rsid w:val="00600CA4"/>
    <w:rsid w:val="00602416"/>
    <w:rsid w:val="006025CE"/>
    <w:rsid w:val="00602DFC"/>
    <w:rsid w:val="006041F2"/>
    <w:rsid w:val="00605BDC"/>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0275"/>
    <w:rsid w:val="006A1A95"/>
    <w:rsid w:val="006A38B7"/>
    <w:rsid w:val="006A5C31"/>
    <w:rsid w:val="006B1CB2"/>
    <w:rsid w:val="006B1DD1"/>
    <w:rsid w:val="006B2693"/>
    <w:rsid w:val="006B3396"/>
    <w:rsid w:val="006B4FE7"/>
    <w:rsid w:val="006B60A5"/>
    <w:rsid w:val="006C195E"/>
    <w:rsid w:val="006C7450"/>
    <w:rsid w:val="006D638F"/>
    <w:rsid w:val="006D7384"/>
    <w:rsid w:val="006E7BF7"/>
    <w:rsid w:val="00702F2C"/>
    <w:rsid w:val="007068C8"/>
    <w:rsid w:val="00715B8F"/>
    <w:rsid w:val="00727D10"/>
    <w:rsid w:val="0073106E"/>
    <w:rsid w:val="00735BFF"/>
    <w:rsid w:val="00737813"/>
    <w:rsid w:val="00755142"/>
    <w:rsid w:val="00756BB7"/>
    <w:rsid w:val="0075764B"/>
    <w:rsid w:val="00760C01"/>
    <w:rsid w:val="00761293"/>
    <w:rsid w:val="00767C04"/>
    <w:rsid w:val="0077037D"/>
    <w:rsid w:val="007736A2"/>
    <w:rsid w:val="007A6226"/>
    <w:rsid w:val="007B07BF"/>
    <w:rsid w:val="007B3C61"/>
    <w:rsid w:val="007C6D14"/>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64EC"/>
    <w:rsid w:val="008E7FEE"/>
    <w:rsid w:val="008F2F06"/>
    <w:rsid w:val="008F31F5"/>
    <w:rsid w:val="008F67F5"/>
    <w:rsid w:val="008F6BCE"/>
    <w:rsid w:val="00900D4B"/>
    <w:rsid w:val="00905F9B"/>
    <w:rsid w:val="00913E95"/>
    <w:rsid w:val="009164F3"/>
    <w:rsid w:val="009170B9"/>
    <w:rsid w:val="0092287F"/>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2BEF"/>
    <w:rsid w:val="009C42A8"/>
    <w:rsid w:val="009D28CF"/>
    <w:rsid w:val="009D546F"/>
    <w:rsid w:val="009E166E"/>
    <w:rsid w:val="009E40D1"/>
    <w:rsid w:val="009E5D36"/>
    <w:rsid w:val="009E6375"/>
    <w:rsid w:val="009E7CA0"/>
    <w:rsid w:val="00A04392"/>
    <w:rsid w:val="00A069CE"/>
    <w:rsid w:val="00A109D8"/>
    <w:rsid w:val="00A16003"/>
    <w:rsid w:val="00A167D7"/>
    <w:rsid w:val="00A22E13"/>
    <w:rsid w:val="00A23D39"/>
    <w:rsid w:val="00A23EC2"/>
    <w:rsid w:val="00A24FBB"/>
    <w:rsid w:val="00A332E8"/>
    <w:rsid w:val="00A3453E"/>
    <w:rsid w:val="00A42ED2"/>
    <w:rsid w:val="00A44B33"/>
    <w:rsid w:val="00A50E00"/>
    <w:rsid w:val="00A52529"/>
    <w:rsid w:val="00A53624"/>
    <w:rsid w:val="00A55EAF"/>
    <w:rsid w:val="00A5766B"/>
    <w:rsid w:val="00A75AA4"/>
    <w:rsid w:val="00A76720"/>
    <w:rsid w:val="00A77512"/>
    <w:rsid w:val="00A863E3"/>
    <w:rsid w:val="00A94161"/>
    <w:rsid w:val="00A97BFB"/>
    <w:rsid w:val="00AB0BBC"/>
    <w:rsid w:val="00AB3A92"/>
    <w:rsid w:val="00AB478B"/>
    <w:rsid w:val="00AB47AC"/>
    <w:rsid w:val="00AB4AD9"/>
    <w:rsid w:val="00AD0576"/>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D4EC7"/>
    <w:rsid w:val="00BE3BC7"/>
    <w:rsid w:val="00BF0C5F"/>
    <w:rsid w:val="00BF1AB7"/>
    <w:rsid w:val="00BF7FE9"/>
    <w:rsid w:val="00C001F8"/>
    <w:rsid w:val="00C03596"/>
    <w:rsid w:val="00C05EEC"/>
    <w:rsid w:val="00C11373"/>
    <w:rsid w:val="00C15A13"/>
    <w:rsid w:val="00C238D9"/>
    <w:rsid w:val="00C24A9D"/>
    <w:rsid w:val="00C2677E"/>
    <w:rsid w:val="00C31542"/>
    <w:rsid w:val="00C32604"/>
    <w:rsid w:val="00C5028E"/>
    <w:rsid w:val="00C54E78"/>
    <w:rsid w:val="00C6078D"/>
    <w:rsid w:val="00C657CF"/>
    <w:rsid w:val="00C702F5"/>
    <w:rsid w:val="00C80D62"/>
    <w:rsid w:val="00C835F3"/>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43FDE"/>
    <w:rsid w:val="00D47144"/>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C632F"/>
    <w:rsid w:val="00DD0384"/>
    <w:rsid w:val="00DD0901"/>
    <w:rsid w:val="00DD4330"/>
    <w:rsid w:val="00DD4AB0"/>
    <w:rsid w:val="00DE16B6"/>
    <w:rsid w:val="00DE3323"/>
    <w:rsid w:val="00DE36CA"/>
    <w:rsid w:val="00DE7E63"/>
    <w:rsid w:val="00DF5AA8"/>
    <w:rsid w:val="00DF77A2"/>
    <w:rsid w:val="00E25650"/>
    <w:rsid w:val="00E347FC"/>
    <w:rsid w:val="00E367C5"/>
    <w:rsid w:val="00E37E71"/>
    <w:rsid w:val="00E411CA"/>
    <w:rsid w:val="00E42486"/>
    <w:rsid w:val="00E42847"/>
    <w:rsid w:val="00E45862"/>
    <w:rsid w:val="00E46064"/>
    <w:rsid w:val="00E51061"/>
    <w:rsid w:val="00E56804"/>
    <w:rsid w:val="00E604A1"/>
    <w:rsid w:val="00E65033"/>
    <w:rsid w:val="00E67565"/>
    <w:rsid w:val="00E7293C"/>
    <w:rsid w:val="00E73AA8"/>
    <w:rsid w:val="00E76812"/>
    <w:rsid w:val="00E80228"/>
    <w:rsid w:val="00E86D2A"/>
    <w:rsid w:val="00E8711A"/>
    <w:rsid w:val="00E91565"/>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15835"/>
    <w:rsid w:val="00F22E82"/>
    <w:rsid w:val="00F2483A"/>
    <w:rsid w:val="00F250AB"/>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FD70FE"/>
  <w15:docId w15:val="{EF4A0A4F-23BD-42E0-86F5-7FF9C10F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1"/>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483DEE"/>
    <w:pPr>
      <w:autoSpaceDE w:val="0"/>
      <w:autoSpaceDN w:val="0"/>
      <w:adjustRightInd w:val="0"/>
      <w:spacing w:before="0" w:after="0"/>
    </w:pPr>
    <w:rPr>
      <w:rFonts w:ascii="Century Gothic" w:hAnsi="Century Gothic" w:cs="Century Gothic"/>
      <w:color w:val="000000"/>
      <w:lang w:eastAsia="en-US"/>
    </w:rPr>
  </w:style>
  <w:style w:type="paragraph" w:customStyle="1" w:styleId="Body">
    <w:name w:val="Body"/>
    <w:basedOn w:val="Normal"/>
    <w:link w:val="BodyChar"/>
    <w:rsid w:val="00343F23"/>
    <w:pPr>
      <w:jc w:val="both"/>
    </w:pPr>
    <w:rPr>
      <w:rFonts w:ascii="Verdana" w:eastAsia="Times New Roman" w:hAnsi="Verdana"/>
      <w:sz w:val="20"/>
      <w:lang w:val="en-US"/>
    </w:rPr>
  </w:style>
  <w:style w:type="character" w:customStyle="1" w:styleId="BodyChar">
    <w:name w:val="Body Char"/>
    <w:link w:val="Body"/>
    <w:rsid w:val="00343F23"/>
    <w:rPr>
      <w:rFonts w:ascii="Verdana" w:eastAsia="Times New Roman" w:hAnsi="Verdana"/>
      <w:sz w:val="20"/>
      <w:lang w:val="en-US" w:eastAsia="en-US"/>
    </w:rPr>
  </w:style>
  <w:style w:type="paragraph" w:styleId="CommentText">
    <w:name w:val="annotation text"/>
    <w:basedOn w:val="Normal"/>
    <w:link w:val="CommentTextChar"/>
    <w:uiPriority w:val="99"/>
    <w:semiHidden/>
    <w:unhideWhenUsed/>
    <w:rsid w:val="004C4229"/>
    <w:rPr>
      <w:sz w:val="20"/>
      <w:szCs w:val="20"/>
    </w:rPr>
  </w:style>
  <w:style w:type="character" w:customStyle="1" w:styleId="CommentTextChar">
    <w:name w:val="Comment Text Char"/>
    <w:basedOn w:val="DefaultParagraphFont"/>
    <w:link w:val="CommentText"/>
    <w:uiPriority w:val="99"/>
    <w:semiHidden/>
    <w:rsid w:val="004C4229"/>
    <w:rPr>
      <w:sz w:val="20"/>
      <w:szCs w:val="20"/>
      <w:lang w:eastAsia="en-US"/>
    </w:rPr>
  </w:style>
  <w:style w:type="paragraph" w:styleId="CommentSubject">
    <w:name w:val="annotation subject"/>
    <w:basedOn w:val="CommentText"/>
    <w:next w:val="CommentText"/>
    <w:link w:val="CommentSubjectChar"/>
    <w:uiPriority w:val="99"/>
    <w:semiHidden/>
    <w:unhideWhenUsed/>
    <w:rsid w:val="004C4229"/>
    <w:rPr>
      <w:b/>
      <w:bCs/>
    </w:rPr>
  </w:style>
  <w:style w:type="character" w:customStyle="1" w:styleId="CommentSubjectChar">
    <w:name w:val="Comment Subject Char"/>
    <w:basedOn w:val="CommentTextChar"/>
    <w:link w:val="CommentSubject"/>
    <w:uiPriority w:val="99"/>
    <w:semiHidden/>
    <w:rsid w:val="004C4229"/>
    <w:rPr>
      <w:b/>
      <w:bCs/>
      <w:sz w:val="20"/>
      <w:szCs w:val="20"/>
      <w:lang w:eastAsia="en-US"/>
    </w:rPr>
  </w:style>
  <w:style w:type="paragraph" w:styleId="Revision">
    <w:name w:val="Revision"/>
    <w:hidden/>
    <w:uiPriority w:val="99"/>
    <w:semiHidden/>
    <w:rsid w:val="00F15835"/>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ms.dia.govt.nz/DMS/Active/bsr.nsf/0/A9C779153BFB7200CC257D09006F172A/$file/4063613DA%20-%20DIA_Profile_Specialist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7315EEF9831EFF46A400DD054D484451004F6D2A32802DF342AADEC3D68C82295C" ma:contentTypeVersion="7" ma:contentTypeDescription="Use for all reports either created by or received by DIA in the course of its business" ma:contentTypeScope="" ma:versionID="7f74b4ae532c79bfb98bc54fc8f2ed60">
  <xsd:schema xmlns:xsd="http://www.w3.org/2001/XMLSchema" xmlns:xs="http://www.w3.org/2001/XMLSchema" xmlns:p="http://schemas.microsoft.com/office/2006/metadata/properties" xmlns:ns3="01be4277-2979-4a68-876d-b92b25fceece" xmlns:ns4="85311de4-afe1-4671-a683-c93bf693c152" targetNamespace="http://schemas.microsoft.com/office/2006/metadata/properties" ma:root="true" ma:fieldsID="cdeb50670f283a6d8386e6c1cce4b173" ns3:_="" ns4:_="">
    <xsd:import namespace="01be4277-2979-4a68-876d-b92b25fceece"/>
    <xsd:import namespace="85311de4-afe1-4671-a683-c93bf693c1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o1bb36cab8364050b628311b6e55db02" minOccurs="0"/>
                <xsd:element ref="ns4:DIANotes" minOccurs="0"/>
                <xsd:element ref="ns4:jeb09f582616404f9d46a5642ee103c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29d8ebe5-3f3d-4bd5-afe0-0fb1be617af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o1bb36cab8364050b628311b6e55db02" ma:index="17" nillable="true" ma:taxonomy="true" ma:internalName="o1bb36cab8364050b628311b6e55db02" ma:taxonomyFieldName="DIAReportDocumentType" ma:displayName="Report Document Type" ma:default="" ma:fieldId="{81bb36ca-b836-4050-b628-311b6e55db02}"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DIANotes" ma:index="19"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20"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ffb0d620-0bb7-4dfa-a150-82c861d9259f</TermId>
        </TermInfo>
      </Terms>
    </C3TopicNote>
    <TaxCatchAll xmlns="85311de4-afe1-4671-a683-c93bf693c152">
      <Value>10865</Value>
      <Value>23</Value>
      <Value>1</Value>
    </TaxCatchAll>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JD Revised - consultation undertaken with HR 
</DIANotes>
    <o1bb36cab8364050b628311b6e55db02 xmlns="85311de4-afe1-4671-a683-c93bf693c152">
      <Terms xmlns="http://schemas.microsoft.com/office/infopath/2007/PartnerControls"/>
    </o1bb36cab8364050b628311b6e55db02>
    <_dlc_DocId xmlns="85311de4-afe1-4671-a683-c93bf693c152">C326EWCD6JZ2-304428052-103</_dlc_DocId>
    <_dlc_DocIdUrl xmlns="85311de4-afe1-4671-a683-c93bf693c152">
      <Url>https://dia.cohesion.net.nz/sites/TEA/GRA/TM/_layouts/15/DocIdRedir.aspx?ID=C326EWCD6JZ2-304428052-103</Url>
      <Description>C326EWCD6JZ2-304428052-103</Description>
    </_dlc_DocIdUrl>
    <SharedWithUsers xmlns="85311de4-afe1-4671-a683-c93bf693c152">
      <UserInfo>
        <DisplayName>Erica Thomas</DisplayName>
        <AccountId>5680</AccountId>
        <AccountType/>
      </UserInfo>
      <UserInfo>
        <DisplayName>Courtney Goodwin</DisplayName>
        <AccountId>4175</AccountId>
        <AccountType/>
      </UserInfo>
      <UserInfo>
        <DisplayName>Trevor Thomas</DisplayName>
        <AccountId>5891</AccountId>
        <AccountType/>
      </UserInfo>
      <UserInfo>
        <DisplayName>Steve Tribe</DisplayName>
        <AccountId>1402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285A-7025-4CDB-9079-CD513ECB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2F72A-7E67-4E20-9911-6B71B3D984FA}">
  <ds:schemaRefs>
    <ds:schemaRef ds:uri="http://schemas.microsoft.com/sharepoint/events"/>
  </ds:schemaRefs>
</ds:datastoreItem>
</file>

<file path=customXml/itemProps3.xml><?xml version="1.0" encoding="utf-8"?>
<ds:datastoreItem xmlns:ds="http://schemas.openxmlformats.org/officeDocument/2006/customXml" ds:itemID="{827737CC-21DC-41A7-8564-A2D923B43A1A}">
  <ds:schemaRefs>
    <ds:schemaRef ds:uri="http://schemas.microsoft.com/sharepoint/v3/contenttype/forms"/>
  </ds:schemaRefs>
</ds:datastoreItem>
</file>

<file path=customXml/itemProps4.xml><?xml version="1.0" encoding="utf-8"?>
<ds:datastoreItem xmlns:ds="http://schemas.openxmlformats.org/officeDocument/2006/customXml" ds:itemID="{961A3859-2F45-4DD1-96A0-40BD0502AC70}">
  <ds:schemaRefs>
    <ds:schemaRef ds:uri="85311de4-afe1-4671-a683-c93bf693c152"/>
    <ds:schemaRef ds:uri="http://purl.org/dc/elements/1.1/"/>
    <ds:schemaRef ds:uri="http://purl.org/dc/dcmitype/"/>
    <ds:schemaRef ds:uri="http://schemas.microsoft.com/office/infopath/2007/PartnerControls"/>
    <ds:schemaRef ds:uri="http://schemas.openxmlformats.org/package/2006/metadata/core-properties"/>
    <ds:schemaRef ds:uri="01be4277-2979-4a68-876d-b92b25fceec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B5AB9144-FFFC-4FB9-A96E-9F03F4B2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Final JD for PA Organisational Risk (recruiting September 2021)</vt:lpstr>
    </vt:vector>
  </TitlesOfParts>
  <Company>Department of Internal Affairs</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JD for PA Organisational Risk (recruiting September 2021)</dc:title>
  <dc:creator>Cathrine Austin</dc:creator>
  <cp:keywords/>
  <cp:lastModifiedBy>Cathrine Austin</cp:lastModifiedBy>
  <cp:revision>2</cp:revision>
  <cp:lastPrinted>2014-12-23T20:51:00Z</cp:lastPrinted>
  <dcterms:created xsi:type="dcterms:W3CDTF">2021-09-14T02:12:00Z</dcterms:created>
  <dcterms:modified xsi:type="dcterms:W3CDTF">2021-09-14T02:12:00Z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0x0101005496552013C0BA46BE88192D5C6EB20B007315EEF9831EFF46A400DD054D484451004F6D2A32802DF342AADEC3D68C82295C</vt:lpwstr>
  </property>
  <property fmtid="{D5CDD505-2E9C-101B-9397-08002B2CF9AE}" pid="3" name="l5eb22b5096a4c4fb1284f6eb1cdb111">
    <vt:lpwstr/>
  </property>
  <property fmtid="{D5CDD505-2E9C-101B-9397-08002B2CF9AE}" pid="4" name="DIAStaffType">
    <vt:lpwstr/>
  </property>
  <property fmtid="{D5CDD505-2E9C-101B-9397-08002B2CF9AE}" pid="5" name="m4b7cad729d540cc87a02edd2c660710">
    <vt:lpwstr>Correspondence|dcd6b05f-dc80-4336-b228-09aebf3d212c</vt:lpwstr>
  </property>
  <property fmtid="{D5CDD505-2E9C-101B-9397-08002B2CF9AE}" pid="6" name="_dlc_DocIdItemGuid">
    <vt:lpwstr>c55b50d0-90a1-411f-a32a-a489b5ba80bb</vt:lpwstr>
  </property>
  <property fmtid="{D5CDD505-2E9C-101B-9397-08002B2CF9AE}" pid="7" name="TaxKeyword">
    <vt:lpwstr/>
  </property>
  <property fmtid="{D5CDD505-2E9C-101B-9397-08002B2CF9AE}" pid="8" name="i0c2a2b75028473eac955ddb895c8cbb">
    <vt:lpwstr/>
  </property>
  <property fmtid="{D5CDD505-2E9C-101B-9397-08002B2CF9AE}" pid="9" name="DIAAdministrationDocumentType">
    <vt:lpwstr/>
  </property>
  <property fmtid="{D5CDD505-2E9C-101B-9397-08002B2CF9AE}" pid="10" name="DIAMeetingDocumentType">
    <vt:lpwstr/>
  </property>
  <property fmtid="{D5CDD505-2E9C-101B-9397-08002B2CF9AE}" pid="11" name="C3Topic">
    <vt:lpwstr>10865;#Recruitment|ffb0d620-0bb7-4dfa-a150-82c861d9259f</vt:lpwstr>
  </property>
  <property fmtid="{D5CDD505-2E9C-101B-9397-08002B2CF9AE}" pid="12" name="DIAReportDocumentType">
    <vt:lpwstr/>
  </property>
  <property fmtid="{D5CDD505-2E9C-101B-9397-08002B2CF9AE}" pid="13" name="ed60e69bc4dc419ea4123b95e405f618">
    <vt:lpwstr/>
  </property>
  <property fmtid="{D5CDD505-2E9C-101B-9397-08002B2CF9AE}" pid="14" name="DIASecurityClassification">
    <vt:lpwstr>1;#UNCLASSIFIED|875d92a8-67e2-4a32-9472-8fe99549e1eb</vt:lpwstr>
  </property>
  <property fmtid="{D5CDD505-2E9C-101B-9397-08002B2CF9AE}" pid="15" name="DIAEmailContentType">
    <vt:lpwstr>23;#Correspondence|dcd6b05f-dc80-4336-b228-09aebf3d212c</vt:lpwstr>
  </property>
</Properties>
</file>