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1B52" w14:textId="77777777" w:rsidR="001676BD" w:rsidRPr="003F17A9" w:rsidRDefault="00567216" w:rsidP="001676BD">
      <w:pPr>
        <w:pStyle w:val="Heading1"/>
        <w:rPr>
          <w:sz w:val="48"/>
          <w:szCs w:val="48"/>
        </w:rPr>
      </w:pPr>
      <w:proofErr w:type="spellStart"/>
      <w:r w:rsidRPr="003F17A9">
        <w:rPr>
          <w:sz w:val="48"/>
          <w:szCs w:val="48"/>
        </w:rPr>
        <w:t>Pou</w:t>
      </w:r>
      <w:proofErr w:type="spellEnd"/>
      <w:r w:rsidR="0069097E" w:rsidRPr="003F17A9">
        <w:rPr>
          <w:sz w:val="48"/>
          <w:szCs w:val="48"/>
        </w:rPr>
        <w:t xml:space="preserve"> </w:t>
      </w:r>
      <w:proofErr w:type="spellStart"/>
      <w:r w:rsidR="00053D2A" w:rsidRPr="003F17A9">
        <w:rPr>
          <w:sz w:val="48"/>
          <w:szCs w:val="48"/>
        </w:rPr>
        <w:t>Ā</w:t>
      </w:r>
      <w:r w:rsidR="00A47564" w:rsidRPr="003F17A9">
        <w:rPr>
          <w:sz w:val="48"/>
          <w:szCs w:val="48"/>
        </w:rPr>
        <w:t>rahi</w:t>
      </w:r>
      <w:proofErr w:type="spellEnd"/>
      <w:r w:rsidR="00A47564" w:rsidRPr="003F17A9">
        <w:rPr>
          <w:sz w:val="48"/>
          <w:szCs w:val="48"/>
        </w:rPr>
        <w:t xml:space="preserve">, </w:t>
      </w:r>
      <w:r w:rsidR="00AD7095" w:rsidRPr="003F17A9">
        <w:rPr>
          <w:sz w:val="48"/>
          <w:szCs w:val="48"/>
        </w:rPr>
        <w:t>N</w:t>
      </w:r>
      <w:r w:rsidR="00A47564" w:rsidRPr="003F17A9">
        <w:rPr>
          <w:sz w:val="48"/>
          <w:szCs w:val="48"/>
        </w:rPr>
        <w:t xml:space="preserve">ew </w:t>
      </w:r>
      <w:r w:rsidR="00AD7095" w:rsidRPr="003F17A9">
        <w:rPr>
          <w:sz w:val="48"/>
          <w:szCs w:val="48"/>
        </w:rPr>
        <w:t>Z</w:t>
      </w:r>
      <w:r w:rsidR="00A47564" w:rsidRPr="003F17A9">
        <w:rPr>
          <w:sz w:val="48"/>
          <w:szCs w:val="48"/>
        </w:rPr>
        <w:t>ealand</w:t>
      </w:r>
      <w:r w:rsidR="00AD7095" w:rsidRPr="003F17A9">
        <w:rPr>
          <w:sz w:val="48"/>
          <w:szCs w:val="48"/>
        </w:rPr>
        <w:t xml:space="preserve"> </w:t>
      </w:r>
      <w:r w:rsidRPr="003F17A9">
        <w:rPr>
          <w:sz w:val="48"/>
          <w:szCs w:val="48"/>
        </w:rPr>
        <w:t xml:space="preserve">Library </w:t>
      </w:r>
      <w:r w:rsidR="00AD7095" w:rsidRPr="003F17A9">
        <w:rPr>
          <w:sz w:val="48"/>
          <w:szCs w:val="48"/>
        </w:rPr>
        <w:t xml:space="preserve">Partnerships Programme </w:t>
      </w:r>
      <w:r w:rsidRPr="003F17A9">
        <w:rPr>
          <w:sz w:val="48"/>
          <w:szCs w:val="48"/>
        </w:rPr>
        <w:t xml:space="preserve"> </w:t>
      </w:r>
    </w:p>
    <w:p w14:paraId="25D90643" w14:textId="77777777" w:rsidR="001676BD" w:rsidRPr="001676BD" w:rsidRDefault="008C026F" w:rsidP="001676BD">
      <w:pPr>
        <w:pStyle w:val="Heading2"/>
      </w:pPr>
      <w:r>
        <w:t xml:space="preserve">National Library, </w:t>
      </w:r>
      <w:r w:rsidR="00567216">
        <w:t xml:space="preserve">Information and Knowledge Services </w:t>
      </w:r>
    </w:p>
    <w:p w14:paraId="11D1FA48" w14:textId="77777777" w:rsidR="0069097E" w:rsidRPr="0017733E" w:rsidRDefault="0069097E" w:rsidP="004C4278">
      <w:pPr>
        <w:keepLines/>
        <w:spacing w:after="32"/>
        <w:jc w:val="both"/>
        <w:rPr>
          <w:rFonts w:asciiTheme="minorHAnsi" w:eastAsia="Times New Roman" w:hAnsiTheme="minorHAnsi" w:cstheme="minorHAnsi"/>
          <w:lang w:eastAsia="en-NZ"/>
        </w:rPr>
      </w:pPr>
      <w:r w:rsidRPr="0017733E">
        <w:rPr>
          <w:rFonts w:asciiTheme="minorHAnsi" w:eastAsia="Times New Roman" w:hAnsiTheme="minorHAnsi" w:cstheme="minorHAnsi"/>
          <w:lang w:eastAsia="en-NZ"/>
        </w:rPr>
        <w:t xml:space="preserve">The New Zealand Library Partnership Programme </w:t>
      </w:r>
      <w:r w:rsidR="008C026F" w:rsidRPr="0017733E">
        <w:rPr>
          <w:rFonts w:asciiTheme="minorHAnsi" w:eastAsia="Times New Roman" w:hAnsiTheme="minorHAnsi" w:cstheme="minorHAnsi"/>
          <w:lang w:eastAsia="en-NZ"/>
        </w:rPr>
        <w:t xml:space="preserve">(NZLPP) </w:t>
      </w:r>
      <w:r w:rsidRPr="0017733E">
        <w:rPr>
          <w:rFonts w:asciiTheme="minorHAnsi" w:eastAsia="Times New Roman" w:hAnsiTheme="minorHAnsi" w:cstheme="minorHAnsi"/>
          <w:lang w:eastAsia="en-NZ"/>
        </w:rPr>
        <w:t xml:space="preserve">is working to strengthen the vital role of New Zealand Libraries as community hubs that support life-long learning, reading, digital literacy and easy access to information and knowledge.  </w:t>
      </w:r>
    </w:p>
    <w:p w14:paraId="3F7B49A3" w14:textId="4C58F318" w:rsidR="004021BE" w:rsidRPr="00B008BB" w:rsidRDefault="00781B26" w:rsidP="004C4278">
      <w:pPr>
        <w:keepLines/>
        <w:jc w:val="both"/>
        <w:rPr>
          <w:rFonts w:asciiTheme="minorHAnsi" w:eastAsia="Times New Roman" w:hAnsiTheme="minorHAnsi" w:cstheme="minorHAnsi"/>
          <w:lang w:eastAsia="en-NZ"/>
        </w:rPr>
      </w:pPr>
      <w:proofErr w:type="spellStart"/>
      <w:r>
        <w:rPr>
          <w:rFonts w:asciiTheme="minorHAnsi" w:eastAsia="Times New Roman" w:hAnsiTheme="minorHAnsi" w:cstheme="minorHAnsi"/>
          <w:lang w:eastAsia="en-NZ"/>
        </w:rPr>
        <w:t>Pou</w:t>
      </w:r>
      <w:proofErr w:type="spellEnd"/>
      <w:r>
        <w:rPr>
          <w:rFonts w:asciiTheme="minorHAnsi" w:eastAsia="Times New Roman" w:hAnsiTheme="minorHAnsi" w:cstheme="minorHAnsi"/>
          <w:lang w:eastAsia="en-NZ"/>
        </w:rPr>
        <w:t xml:space="preserve"> </w:t>
      </w:r>
      <w:proofErr w:type="spellStart"/>
      <w:r>
        <w:rPr>
          <w:rFonts w:asciiTheme="minorHAnsi" w:eastAsia="Times New Roman" w:hAnsiTheme="minorHAnsi" w:cstheme="minorHAnsi"/>
          <w:lang w:eastAsia="en-NZ"/>
        </w:rPr>
        <w:t>Ārahi</w:t>
      </w:r>
      <w:proofErr w:type="spellEnd"/>
      <w:r>
        <w:rPr>
          <w:rFonts w:asciiTheme="minorHAnsi" w:eastAsia="Times New Roman" w:hAnsiTheme="minorHAnsi" w:cstheme="minorHAnsi"/>
          <w:lang w:eastAsia="en-NZ"/>
        </w:rPr>
        <w:t xml:space="preserve"> will</w:t>
      </w:r>
      <w:r w:rsidR="0069097E" w:rsidRPr="00B008BB">
        <w:rPr>
          <w:rFonts w:asciiTheme="minorHAnsi" w:eastAsia="Times New Roman" w:hAnsiTheme="minorHAnsi" w:cstheme="minorHAnsi"/>
          <w:lang w:eastAsia="en-NZ"/>
        </w:rPr>
        <w:t xml:space="preserve"> </w:t>
      </w:r>
      <w:r w:rsidR="00DA35E4" w:rsidRPr="00B008BB">
        <w:rPr>
          <w:rFonts w:asciiTheme="minorHAnsi" w:eastAsia="Times New Roman" w:hAnsiTheme="minorHAnsi" w:cstheme="minorHAnsi"/>
          <w:lang w:eastAsia="en-NZ"/>
        </w:rPr>
        <w:t>provide direct advice and guidance to projects within in the programme to incorporate Māori perspectives</w:t>
      </w:r>
      <w:r w:rsidR="00DA35E4" w:rsidRPr="00B008BB">
        <w:rPr>
          <w:rFonts w:asciiTheme="minorHAnsi" w:eastAsia="Times New Roman" w:hAnsiTheme="minorHAnsi" w:cstheme="minorHAnsi"/>
          <w:lang w:eastAsia="en-NZ"/>
        </w:rPr>
        <w:t xml:space="preserve"> </w:t>
      </w:r>
      <w:r w:rsidR="00DA35E4">
        <w:rPr>
          <w:rFonts w:asciiTheme="minorHAnsi" w:eastAsia="Times New Roman" w:hAnsiTheme="minorHAnsi" w:cstheme="minorHAnsi"/>
          <w:lang w:eastAsia="en-NZ"/>
        </w:rPr>
        <w:t xml:space="preserve">and </w:t>
      </w:r>
      <w:r w:rsidR="008C026F" w:rsidRPr="00B008BB">
        <w:rPr>
          <w:rFonts w:asciiTheme="minorHAnsi" w:eastAsia="Times New Roman" w:hAnsiTheme="minorHAnsi" w:cstheme="minorHAnsi"/>
          <w:lang w:eastAsia="en-NZ"/>
        </w:rPr>
        <w:t xml:space="preserve">support the </w:t>
      </w:r>
      <w:r w:rsidR="0069097E" w:rsidRPr="00B008BB">
        <w:rPr>
          <w:rFonts w:asciiTheme="minorHAnsi" w:eastAsia="Times New Roman" w:hAnsiTheme="minorHAnsi" w:cstheme="minorHAnsi"/>
          <w:lang w:eastAsia="en-NZ"/>
        </w:rPr>
        <w:t>capability</w:t>
      </w:r>
      <w:r w:rsidR="008C026F" w:rsidRPr="00B008BB">
        <w:rPr>
          <w:rFonts w:asciiTheme="minorHAnsi" w:eastAsia="Times New Roman" w:hAnsiTheme="minorHAnsi" w:cstheme="minorHAnsi"/>
          <w:lang w:eastAsia="en-NZ"/>
        </w:rPr>
        <w:t xml:space="preserve"> uplift of programme funded positions focussed on </w:t>
      </w:r>
      <w:proofErr w:type="spellStart"/>
      <w:r w:rsidR="00C94EB2" w:rsidRPr="00B008BB">
        <w:rPr>
          <w:rFonts w:asciiTheme="minorHAnsi" w:eastAsia="Times New Roman" w:hAnsiTheme="minorHAnsi" w:cstheme="minorHAnsi"/>
          <w:lang w:eastAsia="en-NZ"/>
        </w:rPr>
        <w:t>te</w:t>
      </w:r>
      <w:proofErr w:type="spellEnd"/>
      <w:r w:rsidR="00C94EB2" w:rsidRPr="00B008BB">
        <w:rPr>
          <w:rFonts w:asciiTheme="minorHAnsi" w:eastAsia="Times New Roman" w:hAnsiTheme="minorHAnsi" w:cstheme="minorHAnsi"/>
          <w:lang w:eastAsia="en-NZ"/>
        </w:rPr>
        <w:t xml:space="preserve"> </w:t>
      </w:r>
      <w:proofErr w:type="spellStart"/>
      <w:r w:rsidR="00C94EB2" w:rsidRPr="00B008BB">
        <w:rPr>
          <w:rFonts w:asciiTheme="minorHAnsi" w:eastAsia="Times New Roman" w:hAnsiTheme="minorHAnsi" w:cstheme="minorHAnsi"/>
          <w:lang w:eastAsia="en-NZ"/>
        </w:rPr>
        <w:t>reo</w:t>
      </w:r>
      <w:proofErr w:type="spellEnd"/>
      <w:r w:rsidR="00C94EB2" w:rsidRPr="00B008BB">
        <w:rPr>
          <w:rFonts w:asciiTheme="minorHAnsi" w:eastAsia="Times New Roman" w:hAnsiTheme="minorHAnsi" w:cstheme="minorHAnsi"/>
          <w:lang w:eastAsia="en-NZ"/>
        </w:rPr>
        <w:t xml:space="preserve"> </w:t>
      </w:r>
      <w:r w:rsidR="008C026F" w:rsidRPr="00B008BB">
        <w:rPr>
          <w:rFonts w:asciiTheme="minorHAnsi" w:eastAsia="Times New Roman" w:hAnsiTheme="minorHAnsi" w:cstheme="minorHAnsi"/>
          <w:lang w:eastAsia="en-NZ"/>
        </w:rPr>
        <w:t xml:space="preserve">and </w:t>
      </w:r>
      <w:proofErr w:type="spellStart"/>
      <w:r w:rsidR="008C026F" w:rsidRPr="00B008BB">
        <w:rPr>
          <w:rFonts w:asciiTheme="minorHAnsi" w:eastAsia="Times New Roman" w:hAnsiTheme="minorHAnsi" w:cstheme="minorHAnsi"/>
          <w:lang w:eastAsia="en-NZ"/>
        </w:rPr>
        <w:t>Mātauranga</w:t>
      </w:r>
      <w:proofErr w:type="spellEnd"/>
      <w:r w:rsidR="008C026F" w:rsidRPr="00B008BB">
        <w:rPr>
          <w:rFonts w:asciiTheme="minorHAnsi" w:eastAsia="Times New Roman" w:hAnsiTheme="minorHAnsi" w:cstheme="minorHAnsi"/>
          <w:lang w:eastAsia="en-NZ"/>
        </w:rPr>
        <w:t xml:space="preserve"> Māori</w:t>
      </w:r>
      <w:r w:rsidR="0069097E" w:rsidRPr="00B008BB">
        <w:rPr>
          <w:rFonts w:asciiTheme="minorHAnsi" w:eastAsia="Times New Roman" w:hAnsiTheme="minorHAnsi" w:cstheme="minorHAnsi"/>
          <w:lang w:eastAsia="en-NZ"/>
        </w:rPr>
        <w:t xml:space="preserve"> </w:t>
      </w:r>
      <w:r w:rsidR="008C026F" w:rsidRPr="00B008BB">
        <w:rPr>
          <w:rFonts w:asciiTheme="minorHAnsi" w:eastAsia="Times New Roman" w:hAnsiTheme="minorHAnsi" w:cstheme="minorHAnsi"/>
          <w:lang w:eastAsia="en-NZ"/>
        </w:rPr>
        <w:t>within the libraries</w:t>
      </w:r>
      <w:r w:rsidR="00A34F21" w:rsidRPr="00B008BB">
        <w:rPr>
          <w:rFonts w:asciiTheme="minorHAnsi" w:eastAsia="Times New Roman" w:hAnsiTheme="minorHAnsi" w:cstheme="minorHAnsi"/>
          <w:lang w:eastAsia="en-NZ"/>
        </w:rPr>
        <w:t xml:space="preserve"> sector</w:t>
      </w:r>
      <w:r w:rsidR="0069097E" w:rsidRPr="00B008BB">
        <w:rPr>
          <w:rFonts w:asciiTheme="minorHAnsi" w:eastAsia="Times New Roman" w:hAnsiTheme="minorHAnsi" w:cstheme="minorHAnsi"/>
          <w:lang w:eastAsia="en-NZ"/>
        </w:rPr>
        <w:t xml:space="preserve">.  </w:t>
      </w:r>
    </w:p>
    <w:p w14:paraId="77C4D5DE" w14:textId="77777777" w:rsidR="008B0D12" w:rsidRPr="00B008BB" w:rsidRDefault="00781B26" w:rsidP="00D92385">
      <w:pPr>
        <w:keepLines/>
        <w:jc w:val="both"/>
        <w:rPr>
          <w:rFonts w:asciiTheme="minorHAnsi" w:eastAsia="Times New Roman" w:hAnsiTheme="minorHAnsi" w:cstheme="minorHAnsi"/>
          <w:lang w:eastAsia="en-NZ"/>
        </w:rPr>
      </w:pPr>
      <w:r>
        <w:rPr>
          <w:rFonts w:asciiTheme="minorHAnsi" w:eastAsia="Times New Roman" w:hAnsiTheme="minorHAnsi" w:cstheme="minorHAnsi"/>
          <w:lang w:eastAsia="en-NZ"/>
        </w:rPr>
        <w:t xml:space="preserve">The </w:t>
      </w:r>
      <w:proofErr w:type="spellStart"/>
      <w:r>
        <w:rPr>
          <w:rFonts w:asciiTheme="minorHAnsi" w:eastAsia="Times New Roman" w:hAnsiTheme="minorHAnsi" w:cstheme="minorHAnsi"/>
          <w:lang w:eastAsia="en-NZ"/>
        </w:rPr>
        <w:t>Pou</w:t>
      </w:r>
      <w:proofErr w:type="spellEnd"/>
      <w:r>
        <w:rPr>
          <w:rFonts w:asciiTheme="minorHAnsi" w:eastAsia="Times New Roman" w:hAnsiTheme="minorHAnsi" w:cstheme="minorHAnsi"/>
          <w:lang w:eastAsia="en-NZ"/>
        </w:rPr>
        <w:t xml:space="preserve"> </w:t>
      </w:r>
      <w:proofErr w:type="spellStart"/>
      <w:r>
        <w:rPr>
          <w:rFonts w:asciiTheme="minorHAnsi" w:eastAsia="Times New Roman" w:hAnsiTheme="minorHAnsi" w:cstheme="minorHAnsi"/>
          <w:lang w:eastAsia="en-NZ"/>
        </w:rPr>
        <w:t>Ārahi</w:t>
      </w:r>
      <w:proofErr w:type="spellEnd"/>
      <w:r>
        <w:rPr>
          <w:rFonts w:asciiTheme="minorHAnsi" w:eastAsia="Times New Roman" w:hAnsiTheme="minorHAnsi" w:cstheme="minorHAnsi"/>
          <w:lang w:eastAsia="en-NZ"/>
        </w:rPr>
        <w:t xml:space="preserve"> will</w:t>
      </w:r>
      <w:r w:rsidR="002E563A" w:rsidRPr="00B008BB">
        <w:rPr>
          <w:rFonts w:asciiTheme="minorHAnsi" w:eastAsia="Times New Roman" w:hAnsiTheme="minorHAnsi" w:cstheme="minorHAnsi"/>
          <w:lang w:eastAsia="en-NZ"/>
        </w:rPr>
        <w:t xml:space="preserve"> </w:t>
      </w:r>
      <w:r>
        <w:rPr>
          <w:rFonts w:asciiTheme="minorHAnsi" w:eastAsia="Times New Roman" w:hAnsiTheme="minorHAnsi" w:cstheme="minorHAnsi"/>
          <w:lang w:eastAsia="en-NZ"/>
        </w:rPr>
        <w:t xml:space="preserve">call upon </w:t>
      </w:r>
      <w:r w:rsidR="002E563A" w:rsidRPr="00B008BB">
        <w:rPr>
          <w:rFonts w:asciiTheme="minorHAnsi" w:eastAsia="Times New Roman" w:hAnsiTheme="minorHAnsi" w:cstheme="minorHAnsi"/>
          <w:lang w:eastAsia="en-NZ"/>
        </w:rPr>
        <w:t>their extensive iwi/Māori and Library sector networks</w:t>
      </w:r>
      <w:r w:rsidR="0069097E" w:rsidRPr="00B008BB">
        <w:rPr>
          <w:rFonts w:asciiTheme="minorHAnsi" w:eastAsia="Times New Roman" w:hAnsiTheme="minorHAnsi" w:cstheme="minorHAnsi"/>
          <w:lang w:eastAsia="en-NZ"/>
        </w:rPr>
        <w:t xml:space="preserve"> </w:t>
      </w:r>
      <w:r>
        <w:rPr>
          <w:rFonts w:asciiTheme="minorHAnsi" w:eastAsia="Times New Roman" w:hAnsiTheme="minorHAnsi" w:cstheme="minorHAnsi"/>
          <w:lang w:eastAsia="en-NZ"/>
        </w:rPr>
        <w:t xml:space="preserve">and </w:t>
      </w:r>
      <w:r w:rsidR="0069097E" w:rsidRPr="00B008BB">
        <w:rPr>
          <w:rFonts w:asciiTheme="minorHAnsi" w:eastAsia="Times New Roman" w:hAnsiTheme="minorHAnsi" w:cstheme="minorHAnsi"/>
          <w:lang w:eastAsia="en-NZ"/>
        </w:rPr>
        <w:t xml:space="preserve">will </w:t>
      </w:r>
      <w:r w:rsidR="00DD55FB" w:rsidRPr="00B008BB">
        <w:rPr>
          <w:rFonts w:asciiTheme="minorHAnsi" w:eastAsia="Times New Roman" w:hAnsiTheme="minorHAnsi" w:cstheme="minorHAnsi"/>
          <w:lang w:eastAsia="en-NZ"/>
        </w:rPr>
        <w:t xml:space="preserve">lead </w:t>
      </w:r>
      <w:r w:rsidR="00A34F21" w:rsidRPr="00B008BB">
        <w:rPr>
          <w:rFonts w:asciiTheme="minorHAnsi" w:eastAsia="Times New Roman" w:hAnsiTheme="minorHAnsi" w:cstheme="minorHAnsi"/>
          <w:lang w:eastAsia="en-NZ"/>
        </w:rPr>
        <w:t>the mahi to create and implement our Māori engagement strategy</w:t>
      </w:r>
      <w:r w:rsidR="00DD55FB" w:rsidRPr="00B008BB">
        <w:rPr>
          <w:rFonts w:asciiTheme="minorHAnsi" w:eastAsia="Times New Roman" w:hAnsiTheme="minorHAnsi" w:cstheme="minorHAnsi"/>
          <w:lang w:eastAsia="en-NZ"/>
        </w:rPr>
        <w:t xml:space="preserve"> </w:t>
      </w:r>
      <w:r w:rsidR="008C026F" w:rsidRPr="00B008BB">
        <w:rPr>
          <w:rFonts w:asciiTheme="minorHAnsi" w:eastAsia="Times New Roman" w:hAnsiTheme="minorHAnsi" w:cstheme="minorHAnsi"/>
          <w:lang w:eastAsia="en-NZ"/>
        </w:rPr>
        <w:t xml:space="preserve">working with others within the National Library and DIA Māori </w:t>
      </w:r>
      <w:r w:rsidR="00A34F21" w:rsidRPr="00B008BB">
        <w:rPr>
          <w:rFonts w:asciiTheme="minorHAnsi" w:eastAsia="Times New Roman" w:hAnsiTheme="minorHAnsi" w:cstheme="minorHAnsi"/>
          <w:lang w:eastAsia="en-NZ"/>
        </w:rPr>
        <w:t>networks and</w:t>
      </w:r>
      <w:r w:rsidR="00DD55FB" w:rsidRPr="00B008BB">
        <w:rPr>
          <w:rFonts w:asciiTheme="minorHAnsi" w:eastAsia="Times New Roman" w:hAnsiTheme="minorHAnsi" w:cstheme="minorHAnsi"/>
          <w:lang w:eastAsia="en-NZ"/>
        </w:rPr>
        <w:t xml:space="preserve"> contribute to the </w:t>
      </w:r>
      <w:r w:rsidR="0069097E" w:rsidRPr="00B008BB">
        <w:rPr>
          <w:rFonts w:asciiTheme="minorHAnsi" w:eastAsia="Times New Roman" w:hAnsiTheme="minorHAnsi" w:cstheme="minorHAnsi"/>
          <w:lang w:eastAsia="en-NZ"/>
        </w:rPr>
        <w:t xml:space="preserve">needs of the National Library/Library Partnerships Programme and our key stakeholders.  </w:t>
      </w:r>
    </w:p>
    <w:p w14:paraId="554D95D1" w14:textId="77777777" w:rsidR="008C026F" w:rsidRPr="0017733E" w:rsidRDefault="001676BD" w:rsidP="008C026F">
      <w:pPr>
        <w:pStyle w:val="Bullet"/>
        <w:rPr>
          <w:rStyle w:val="BullethighlightedChar"/>
        </w:rPr>
      </w:pPr>
      <w:r w:rsidRPr="0017733E">
        <w:rPr>
          <w:rStyle w:val="BullethighlightedChar"/>
        </w:rPr>
        <w:t>Reporting to</w:t>
      </w:r>
      <w:r w:rsidRPr="0017733E">
        <w:t>:</w:t>
      </w:r>
      <w:r w:rsidR="00285621" w:rsidRPr="0017733E">
        <w:t xml:space="preserve"> </w:t>
      </w:r>
      <w:r w:rsidR="00567216" w:rsidRPr="0017733E">
        <w:rPr>
          <w:rFonts w:asciiTheme="minorHAnsi" w:eastAsia="Times New Roman" w:hAnsiTheme="minorHAnsi" w:cstheme="minorHAnsi"/>
          <w:lang w:eastAsia="en-NZ"/>
        </w:rPr>
        <w:t xml:space="preserve">Programme </w:t>
      </w:r>
      <w:r w:rsidR="002E3FC4" w:rsidRPr="0017733E">
        <w:rPr>
          <w:rFonts w:asciiTheme="minorHAnsi" w:eastAsia="Times New Roman" w:hAnsiTheme="minorHAnsi" w:cstheme="minorHAnsi"/>
          <w:lang w:eastAsia="en-NZ"/>
        </w:rPr>
        <w:t>Manager</w:t>
      </w:r>
      <w:r w:rsidR="00567216" w:rsidRPr="0017733E">
        <w:rPr>
          <w:rFonts w:asciiTheme="minorHAnsi" w:eastAsia="Times New Roman" w:hAnsiTheme="minorHAnsi" w:cstheme="minorHAnsi"/>
          <w:lang w:eastAsia="en-NZ"/>
        </w:rPr>
        <w:t xml:space="preserve"> – New Zealand Library Partnerships </w:t>
      </w:r>
      <w:r w:rsidR="002E3FC4" w:rsidRPr="0017733E">
        <w:rPr>
          <w:rFonts w:asciiTheme="minorHAnsi" w:eastAsia="Times New Roman" w:hAnsiTheme="minorHAnsi" w:cstheme="minorHAnsi"/>
          <w:lang w:eastAsia="en-NZ"/>
        </w:rPr>
        <w:t>Programme</w:t>
      </w:r>
    </w:p>
    <w:p w14:paraId="1C79499F" w14:textId="77777777" w:rsidR="008C026F" w:rsidRPr="0017733E" w:rsidRDefault="008C026F" w:rsidP="008C026F">
      <w:pPr>
        <w:pStyle w:val="Bullet"/>
        <w:rPr>
          <w:rStyle w:val="BullethighlightedChar"/>
        </w:rPr>
      </w:pPr>
      <w:r w:rsidRPr="0017733E">
        <w:rPr>
          <w:rStyle w:val="BullethighlightedChar"/>
        </w:rPr>
        <w:t>Type:</w:t>
      </w:r>
      <w:r w:rsidRPr="0017733E">
        <w:rPr>
          <w:rStyle w:val="BullethighlightedChar"/>
          <w:b w:val="0"/>
          <w:color w:val="FF0000"/>
        </w:rPr>
        <w:t xml:space="preserve"> </w:t>
      </w:r>
      <w:r w:rsidRPr="00B008BB">
        <w:rPr>
          <w:rStyle w:val="BullethighlightedChar"/>
          <w:b w:val="0"/>
          <w:color w:val="auto"/>
        </w:rPr>
        <w:t xml:space="preserve">Fixed term </w:t>
      </w:r>
    </w:p>
    <w:p w14:paraId="740A124E" w14:textId="77777777" w:rsidR="001676BD" w:rsidRPr="0017733E" w:rsidRDefault="001676BD" w:rsidP="001676BD">
      <w:pPr>
        <w:pStyle w:val="Bullethighlighted"/>
        <w:rPr>
          <w:rStyle w:val="BullethighlightedChar"/>
        </w:rPr>
      </w:pPr>
      <w:r w:rsidRPr="0017733E">
        <w:t xml:space="preserve">Location: </w:t>
      </w:r>
      <w:r w:rsidR="00B008BB">
        <w:rPr>
          <w:b w:val="0"/>
          <w:color w:val="auto"/>
        </w:rPr>
        <w:t xml:space="preserve">Wellington </w:t>
      </w:r>
    </w:p>
    <w:p w14:paraId="416D275B" w14:textId="77777777" w:rsidR="001676BD" w:rsidRPr="0017733E" w:rsidRDefault="001C15EE" w:rsidP="001676BD">
      <w:pPr>
        <w:pStyle w:val="Bullet"/>
        <w:rPr>
          <w:b/>
          <w:color w:val="1F546B" w:themeColor="text2"/>
        </w:rPr>
      </w:pPr>
      <w:r w:rsidRPr="0017733E">
        <w:rPr>
          <w:rStyle w:val="BullethighlightedChar"/>
        </w:rPr>
        <w:t>Salary range</w:t>
      </w:r>
      <w:r w:rsidRPr="0017733E">
        <w:t>:</w:t>
      </w:r>
      <w:r w:rsidR="00877819" w:rsidRPr="0017733E">
        <w:t xml:space="preserve"> </w:t>
      </w:r>
      <w:r w:rsidR="0091720A">
        <w:t xml:space="preserve">Delivery I </w:t>
      </w:r>
    </w:p>
    <w:p w14:paraId="138BB2FD" w14:textId="77777777" w:rsidR="001676BD" w:rsidRPr="003F17A9" w:rsidRDefault="001676BD" w:rsidP="001C15EE">
      <w:pPr>
        <w:pStyle w:val="Heading2withoverline"/>
        <w:rPr>
          <w:sz w:val="24"/>
          <w:szCs w:val="24"/>
        </w:rPr>
      </w:pPr>
      <w:r w:rsidRPr="003F17A9">
        <w:rPr>
          <w:sz w:val="24"/>
          <w:szCs w:val="24"/>
        </w:rPr>
        <w:t>What we do matters – our purpose</w:t>
      </w:r>
    </w:p>
    <w:p w14:paraId="715E6115" w14:textId="77777777" w:rsidR="005D6013" w:rsidRPr="0017733E" w:rsidRDefault="00BF0C5F" w:rsidP="00285621">
      <w:r w:rsidRPr="0017733E">
        <w:t>Our purpose is t</w:t>
      </w:r>
      <w:r w:rsidR="001676BD" w:rsidRPr="0017733E">
        <w:t>o serve and connect people, communities and government to build a safe, prosperous and respected nation.</w:t>
      </w:r>
    </w:p>
    <w:p w14:paraId="4CBF6647" w14:textId="77777777" w:rsidR="001676BD" w:rsidRDefault="00BF0C5F" w:rsidP="00285621">
      <w:r w:rsidRPr="0017733E">
        <w:t>In other words, it’s all about helping to make New Zealand better for New Zealanders.</w:t>
      </w:r>
    </w:p>
    <w:p w14:paraId="65C3912D" w14:textId="77777777" w:rsidR="003F17A9" w:rsidRPr="003F17A9" w:rsidRDefault="003F17A9" w:rsidP="003F17A9">
      <w:pPr>
        <w:pStyle w:val="Heading2withoverline"/>
        <w:rPr>
          <w:sz w:val="24"/>
          <w:szCs w:val="24"/>
        </w:rPr>
      </w:pPr>
      <w:r w:rsidRPr="003F17A9">
        <w:rPr>
          <w:sz w:val="24"/>
          <w:szCs w:val="24"/>
        </w:rPr>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3F17A9" w14:paraId="259A890F" w14:textId="77777777" w:rsidTr="00C47DEB">
        <w:tc>
          <w:tcPr>
            <w:tcW w:w="1701" w:type="dxa"/>
            <w:vMerge w:val="restart"/>
          </w:tcPr>
          <w:p w14:paraId="1AA54DF5" w14:textId="77777777" w:rsidR="003F17A9" w:rsidRDefault="003F17A9" w:rsidP="00C47DEB">
            <w:pPr>
              <w:pStyle w:val="Tablenormal0"/>
              <w:ind w:left="-108"/>
            </w:pPr>
            <w:r>
              <w:rPr>
                <w:noProof/>
                <w:lang w:eastAsia="en-NZ"/>
              </w:rPr>
              <w:drawing>
                <wp:anchor distT="0" distB="0" distL="114300" distR="114300" simplePos="0" relativeHeight="251658240" behindDoc="0" locked="0" layoutInCell="1" allowOverlap="1" wp14:anchorId="39A34244" wp14:editId="33ABF170">
                  <wp:simplePos x="0" y="0"/>
                  <wp:positionH relativeFrom="column">
                    <wp:posOffset>-65795</wp:posOffset>
                  </wp:positionH>
                  <wp:positionV relativeFrom="paragraph">
                    <wp:posOffset>25261</wp:posOffset>
                  </wp:positionV>
                  <wp:extent cx="942975" cy="2038350"/>
                  <wp:effectExtent l="0" t="0" r="9525" b="0"/>
                  <wp:wrapNone/>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297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557" w:type="dxa"/>
          </w:tcPr>
          <w:p w14:paraId="52AC64FA" w14:textId="77777777" w:rsidR="003F17A9" w:rsidRPr="00DA62E8" w:rsidRDefault="003F17A9" w:rsidP="00C47DEB">
            <w:pPr>
              <w:pStyle w:val="Heading3"/>
            </w:pPr>
            <w:r w:rsidRPr="00DA62E8">
              <w:t xml:space="preserve">We make it easy, we make it work </w:t>
            </w:r>
          </w:p>
          <w:p w14:paraId="3AAAB4C5" w14:textId="77777777" w:rsidR="003F17A9" w:rsidRPr="00DA62E8" w:rsidRDefault="003F17A9" w:rsidP="00C47DEB">
            <w:pPr>
              <w:pStyle w:val="Tablebullet"/>
            </w:pPr>
            <w:r w:rsidRPr="00DA62E8">
              <w:t>Customer centred</w:t>
            </w:r>
          </w:p>
          <w:p w14:paraId="41E5BD43" w14:textId="77777777" w:rsidR="003F17A9" w:rsidRPr="00BF0C5F" w:rsidRDefault="003F17A9" w:rsidP="00C47DEB">
            <w:pPr>
              <w:pStyle w:val="Tablebullet"/>
            </w:pPr>
            <w:r w:rsidRPr="00DA62E8">
              <w:t>Make things even better</w:t>
            </w:r>
          </w:p>
        </w:tc>
      </w:tr>
      <w:tr w:rsidR="003F17A9" w14:paraId="426A1C3D" w14:textId="77777777" w:rsidTr="00C47DEB">
        <w:tc>
          <w:tcPr>
            <w:tcW w:w="1701" w:type="dxa"/>
            <w:vMerge/>
          </w:tcPr>
          <w:p w14:paraId="3488D67F" w14:textId="77777777" w:rsidR="003F17A9" w:rsidRDefault="003F17A9" w:rsidP="00C47DEB">
            <w:pPr>
              <w:pStyle w:val="Tablenormal0"/>
            </w:pPr>
          </w:p>
        </w:tc>
        <w:tc>
          <w:tcPr>
            <w:tcW w:w="8557" w:type="dxa"/>
          </w:tcPr>
          <w:p w14:paraId="00999C02" w14:textId="77777777" w:rsidR="003F17A9" w:rsidRPr="005D6013" w:rsidRDefault="003F17A9" w:rsidP="00C47DEB">
            <w:pPr>
              <w:pStyle w:val="Heading3"/>
            </w:pPr>
            <w:r w:rsidRPr="005D6013">
              <w:t xml:space="preserve">We’re stronger together </w:t>
            </w:r>
          </w:p>
          <w:p w14:paraId="2002B259" w14:textId="77777777" w:rsidR="003F17A9" w:rsidRPr="00DA62E8" w:rsidRDefault="003F17A9" w:rsidP="00C47DEB">
            <w:pPr>
              <w:pStyle w:val="Tablebullet"/>
            </w:pPr>
            <w:r w:rsidRPr="00DA62E8">
              <w:t>Work as a team</w:t>
            </w:r>
          </w:p>
          <w:p w14:paraId="2280CDF6" w14:textId="77777777" w:rsidR="003F17A9" w:rsidRPr="00BF0C5F" w:rsidRDefault="003F17A9" w:rsidP="00C47DEB">
            <w:pPr>
              <w:pStyle w:val="Tablebullet"/>
            </w:pPr>
            <w:r w:rsidRPr="00DA62E8">
              <w:t>Value each other</w:t>
            </w:r>
          </w:p>
        </w:tc>
      </w:tr>
      <w:tr w:rsidR="003F17A9" w14:paraId="4A89872F" w14:textId="77777777" w:rsidTr="00C47DEB">
        <w:tc>
          <w:tcPr>
            <w:tcW w:w="1701" w:type="dxa"/>
            <w:vMerge/>
          </w:tcPr>
          <w:p w14:paraId="7BCA2563" w14:textId="77777777" w:rsidR="003F17A9" w:rsidRDefault="003F17A9" w:rsidP="00C47DEB">
            <w:pPr>
              <w:pStyle w:val="Tablenormal0"/>
            </w:pPr>
          </w:p>
        </w:tc>
        <w:tc>
          <w:tcPr>
            <w:tcW w:w="8557" w:type="dxa"/>
          </w:tcPr>
          <w:p w14:paraId="15094B97" w14:textId="77777777" w:rsidR="003F17A9" w:rsidRPr="005D6013" w:rsidRDefault="003F17A9" w:rsidP="00C47DEB">
            <w:pPr>
              <w:pStyle w:val="Heading3"/>
            </w:pPr>
            <w:r w:rsidRPr="005D6013">
              <w:t xml:space="preserve">We take pride in what we do </w:t>
            </w:r>
          </w:p>
          <w:p w14:paraId="20A5A6D1" w14:textId="77777777" w:rsidR="003F17A9" w:rsidRPr="00DA62E8" w:rsidRDefault="003F17A9" w:rsidP="00C47DEB">
            <w:pPr>
              <w:pStyle w:val="Tablebullet"/>
            </w:pPr>
            <w:r w:rsidRPr="00DA62E8">
              <w:t>Make a positive difference</w:t>
            </w:r>
          </w:p>
          <w:p w14:paraId="0DFD53EE" w14:textId="77777777" w:rsidR="003F17A9" w:rsidRPr="00BF0C5F" w:rsidRDefault="003F17A9" w:rsidP="00C47DEB">
            <w:pPr>
              <w:pStyle w:val="Tablebullet"/>
            </w:pPr>
            <w:r w:rsidRPr="00DA62E8">
              <w:t>Strive for excellence</w:t>
            </w:r>
          </w:p>
        </w:tc>
      </w:tr>
    </w:tbl>
    <w:p w14:paraId="1913F8FB" w14:textId="77777777" w:rsidR="00535DF5" w:rsidRPr="00767FB1" w:rsidRDefault="00535DF5" w:rsidP="003F17A9">
      <w:pPr>
        <w:pStyle w:val="Heading2withoverline"/>
        <w:spacing w:before="0"/>
      </w:pPr>
      <w:r w:rsidRPr="00767FB1">
        <w:lastRenderedPageBreak/>
        <w:t xml:space="preserve">Working </w:t>
      </w:r>
      <w:r w:rsidR="001E3565">
        <w:t xml:space="preserve">effectively </w:t>
      </w:r>
      <w:r w:rsidRPr="00767FB1">
        <w:t xml:space="preserve">with </w:t>
      </w:r>
      <w:r w:rsidRPr="00535DF5">
        <w:t>Māori</w:t>
      </w:r>
    </w:p>
    <w:p w14:paraId="2E438608" w14:textId="77777777" w:rsidR="00C001F8" w:rsidRPr="0017733E" w:rsidRDefault="00C001F8" w:rsidP="00331BD9">
      <w:pPr>
        <w:jc w:val="both"/>
      </w:pPr>
      <w:r w:rsidRPr="0017733E">
        <w:t xml:space="preserve">Te Aka </w:t>
      </w:r>
      <w:proofErr w:type="spellStart"/>
      <w:r w:rsidRPr="0017733E">
        <w:t>Taiwhenua</w:t>
      </w:r>
      <w:proofErr w:type="spellEnd"/>
      <w:r w:rsidRPr="0017733E">
        <w:t xml:space="preserve"> – our Māori Strategic Framework – enables us to work effectively with Māori. Te Aka </w:t>
      </w:r>
      <w:proofErr w:type="spellStart"/>
      <w:r w:rsidRPr="0017733E">
        <w:t>Taiwhenua</w:t>
      </w:r>
      <w:proofErr w:type="spellEnd"/>
      <w:r w:rsidRPr="0017733E">
        <w:t xml:space="preserve"> is underpinned by our </w:t>
      </w:r>
      <w:proofErr w:type="spellStart"/>
      <w:r w:rsidRPr="0017733E">
        <w:t>mātāpono</w:t>
      </w:r>
      <w:proofErr w:type="spellEnd"/>
      <w:r w:rsidRPr="0017733E">
        <w:t xml:space="preserve"> – Kotahitanga, </w:t>
      </w:r>
      <w:proofErr w:type="spellStart"/>
      <w:r w:rsidRPr="0017733E">
        <w:t>Manaakitanga</w:t>
      </w:r>
      <w:proofErr w:type="spellEnd"/>
      <w:r w:rsidRPr="0017733E">
        <w:t xml:space="preserve">, </w:t>
      </w:r>
      <w:proofErr w:type="spellStart"/>
      <w:r w:rsidRPr="0017733E">
        <w:t>Whānaungatanga</w:t>
      </w:r>
      <w:proofErr w:type="spellEnd"/>
      <w:r w:rsidRPr="0017733E">
        <w:t xml:space="preserve">, He </w:t>
      </w:r>
      <w:proofErr w:type="spellStart"/>
      <w:r w:rsidRPr="0017733E">
        <w:t>Tāngata</w:t>
      </w:r>
      <w:proofErr w:type="spellEnd"/>
      <w:r w:rsidRPr="0017733E">
        <w:t>.</w:t>
      </w:r>
    </w:p>
    <w:p w14:paraId="6F79BA5E" w14:textId="77777777" w:rsidR="000B4D31" w:rsidRPr="0017733E" w:rsidRDefault="00C001F8" w:rsidP="00331BD9">
      <w:pPr>
        <w:jc w:val="both"/>
      </w:pPr>
      <w:r w:rsidRPr="0017733E">
        <w:t xml:space="preserve">As DIA is an agent of the Crown, Te </w:t>
      </w:r>
      <w:proofErr w:type="spellStart"/>
      <w:r w:rsidRPr="0017733E">
        <w:t>Tiriti</w:t>
      </w:r>
      <w:proofErr w:type="spellEnd"/>
      <w:r w:rsidRPr="0017733E">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17733E">
        <w:t>Tiriti</w:t>
      </w:r>
      <w:proofErr w:type="spellEnd"/>
      <w:r w:rsidRPr="0017733E">
        <w:t xml:space="preserve"> o Waitangi.</w:t>
      </w:r>
    </w:p>
    <w:p w14:paraId="2BEFA3B5" w14:textId="77777777" w:rsidR="0017733E" w:rsidRPr="00767FB1" w:rsidRDefault="0017733E" w:rsidP="00331BD9">
      <w:pPr>
        <w:pStyle w:val="Heading2withoverline"/>
        <w:jc w:val="both"/>
      </w:pPr>
      <w:r>
        <w:t>Spirit of service</w:t>
      </w:r>
    </w:p>
    <w:p w14:paraId="23681E76" w14:textId="77777777" w:rsidR="0017733E" w:rsidRDefault="0017733E" w:rsidP="0017733E">
      <w:pPr>
        <w:spacing w:after="0"/>
        <w:jc w:val="both"/>
        <w:rPr>
          <w:rFonts w:asciiTheme="minorHAnsi" w:eastAsia="Times New Roman" w:hAnsiTheme="minorHAnsi" w:cstheme="minorHAnsi"/>
          <w:bCs/>
          <w:color w:val="2E1459"/>
          <w:lang w:val="en-US" w:eastAsia="en-NZ"/>
        </w:rPr>
      </w:pPr>
      <w:r w:rsidRPr="00D65CCB">
        <w:rPr>
          <w:rFonts w:asciiTheme="minorHAnsi" w:eastAsia="Calibri" w:hAnsiTheme="minorHAnsi" w:cstheme="minorHAnsi"/>
          <w:lang w:eastAsia="en-NZ"/>
        </w:rPr>
        <w:t xml:space="preserve">Ka </w:t>
      </w:r>
      <w:proofErr w:type="spellStart"/>
      <w:r w:rsidRPr="00D65CCB">
        <w:rPr>
          <w:rFonts w:asciiTheme="minorHAnsi" w:eastAsia="Calibri" w:hAnsiTheme="minorHAnsi" w:cstheme="minorHAnsi"/>
          <w:lang w:eastAsia="en-NZ"/>
        </w:rPr>
        <w:t>mahitahi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o </w:t>
      </w:r>
      <w:proofErr w:type="spellStart"/>
      <w:r w:rsidRPr="00D65CCB">
        <w:rPr>
          <w:rFonts w:asciiTheme="minorHAnsi" w:eastAsia="Calibri" w:hAnsiTheme="minorHAnsi" w:cstheme="minorHAnsi"/>
          <w:lang w:eastAsia="en-NZ"/>
        </w:rPr>
        <w:t>te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ratonga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tūmatanui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kia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hei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painga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mō</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ngā</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tāngata</w:t>
      </w:r>
      <w:proofErr w:type="spellEnd"/>
      <w:r w:rsidRPr="00D65CCB">
        <w:rPr>
          <w:rFonts w:asciiTheme="minorHAnsi" w:eastAsia="Calibri" w:hAnsiTheme="minorHAnsi" w:cstheme="minorHAnsi"/>
          <w:lang w:eastAsia="en-NZ"/>
        </w:rPr>
        <w:t xml:space="preserve"> o Aotearoa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āianei</w:t>
      </w:r>
      <w:proofErr w:type="spellEnd"/>
      <w:r w:rsidRPr="00D65CCB">
        <w:rPr>
          <w:rFonts w:asciiTheme="minorHAnsi" w:eastAsia="Calibri" w:hAnsiTheme="minorHAnsi" w:cstheme="minorHAnsi"/>
          <w:lang w:eastAsia="en-NZ"/>
        </w:rPr>
        <w:t xml:space="preserve">, ā, </w:t>
      </w:r>
      <w:proofErr w:type="spellStart"/>
      <w:r w:rsidRPr="00D65CCB">
        <w:rPr>
          <w:rFonts w:asciiTheme="minorHAnsi" w:eastAsia="Calibri" w:hAnsiTheme="minorHAnsi" w:cstheme="minorHAnsi"/>
          <w:lang w:eastAsia="en-NZ"/>
        </w:rPr>
        <w:t>hei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ngā</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rā</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ki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tua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hoki</w:t>
      </w:r>
      <w:proofErr w:type="spellEnd"/>
      <w:r w:rsidRPr="00D65CCB">
        <w:rPr>
          <w:rFonts w:asciiTheme="minorHAnsi" w:eastAsia="Calibri" w:hAnsiTheme="minorHAnsi" w:cstheme="minorHAnsi"/>
          <w:lang w:eastAsia="en-NZ"/>
        </w:rPr>
        <w:t xml:space="preserve">. He </w:t>
      </w:r>
      <w:proofErr w:type="spellStart"/>
      <w:r w:rsidRPr="00D65CCB">
        <w:rPr>
          <w:rFonts w:asciiTheme="minorHAnsi" w:eastAsia="Calibri" w:hAnsiTheme="minorHAnsi" w:cstheme="minorHAnsi"/>
          <w:lang w:eastAsia="en-NZ"/>
        </w:rPr>
        <w:t>kawenga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tino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whaitake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tā</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hei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tautoko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Karauna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runga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āna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hononga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ki</w:t>
      </w:r>
      <w:proofErr w:type="spellEnd"/>
      <w:r w:rsidRPr="00D65CCB">
        <w:rPr>
          <w:rFonts w:asciiTheme="minorHAnsi" w:eastAsia="Calibri" w:hAnsiTheme="minorHAnsi" w:cstheme="minorHAnsi"/>
          <w:lang w:eastAsia="en-NZ"/>
        </w:rPr>
        <w:t xml:space="preserve"> a </w:t>
      </w:r>
      <w:proofErr w:type="spellStart"/>
      <w:r w:rsidRPr="00D65CCB">
        <w:rPr>
          <w:rFonts w:asciiTheme="minorHAnsi" w:eastAsia="Calibri" w:hAnsiTheme="minorHAnsi" w:cstheme="minorHAnsi"/>
          <w:lang w:eastAsia="en-NZ"/>
        </w:rPr>
        <w:t>ngāi</w:t>
      </w:r>
      <w:proofErr w:type="spellEnd"/>
      <w:r w:rsidRPr="00D65CCB">
        <w:rPr>
          <w:rFonts w:asciiTheme="minorHAnsi" w:eastAsia="Calibri" w:hAnsiTheme="minorHAnsi" w:cstheme="minorHAnsi"/>
          <w:lang w:eastAsia="en-NZ"/>
        </w:rPr>
        <w:t xml:space="preserve"> Māori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raro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Tiriti</w:t>
      </w:r>
      <w:proofErr w:type="spellEnd"/>
      <w:r w:rsidRPr="00D65CCB">
        <w:rPr>
          <w:rFonts w:asciiTheme="minorHAnsi" w:eastAsia="Calibri" w:hAnsiTheme="minorHAnsi" w:cstheme="minorHAnsi"/>
          <w:lang w:eastAsia="en-NZ"/>
        </w:rPr>
        <w:t xml:space="preserve"> o Waitangi. Ka </w:t>
      </w:r>
      <w:proofErr w:type="spellStart"/>
      <w:r w:rsidRPr="00D65CCB">
        <w:rPr>
          <w:rFonts w:asciiTheme="minorHAnsi" w:eastAsia="Calibri" w:hAnsiTheme="minorHAnsi" w:cstheme="minorHAnsi"/>
          <w:lang w:eastAsia="en-NZ"/>
        </w:rPr>
        <w:t>tautoko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i</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te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kāwanatanga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manapori</w:t>
      </w:r>
      <w:proofErr w:type="spellEnd"/>
      <w:r w:rsidRPr="00D65CCB">
        <w:rPr>
          <w:rFonts w:asciiTheme="minorHAnsi" w:eastAsia="Calibri" w:hAnsiTheme="minorHAnsi" w:cstheme="minorHAnsi"/>
          <w:lang w:eastAsia="en-NZ"/>
        </w:rPr>
        <w:t xml:space="preserve">. Ka </w:t>
      </w:r>
      <w:proofErr w:type="spellStart"/>
      <w:r w:rsidRPr="00D65CCB">
        <w:rPr>
          <w:rFonts w:asciiTheme="minorHAnsi" w:eastAsia="Calibri" w:hAnsiTheme="minorHAnsi" w:cstheme="minorHAnsi"/>
          <w:lang w:eastAsia="en-NZ"/>
        </w:rPr>
        <w:t>whakakotahingia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mātou</w:t>
      </w:r>
      <w:proofErr w:type="spellEnd"/>
      <w:r w:rsidRPr="00D65CCB">
        <w:rPr>
          <w:rFonts w:asciiTheme="minorHAnsi" w:eastAsia="Calibri" w:hAnsiTheme="minorHAnsi" w:cstheme="minorHAnsi"/>
          <w:lang w:eastAsia="en-NZ"/>
        </w:rPr>
        <w:t xml:space="preserve"> e </w:t>
      </w:r>
      <w:proofErr w:type="spellStart"/>
      <w:r w:rsidRPr="00D65CCB">
        <w:rPr>
          <w:rFonts w:asciiTheme="minorHAnsi" w:eastAsia="Calibri" w:hAnsiTheme="minorHAnsi" w:cstheme="minorHAnsi"/>
          <w:lang w:eastAsia="en-NZ"/>
        </w:rPr>
        <w:t>te</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wairua</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lang w:eastAsia="en-NZ"/>
        </w:rPr>
        <w:t>whakarato</w:t>
      </w:r>
      <w:proofErr w:type="spellEnd"/>
      <w:r w:rsidRPr="00D65CCB">
        <w:rPr>
          <w:rFonts w:asciiTheme="minorHAnsi" w:eastAsia="Calibri" w:hAnsiTheme="minorHAnsi" w:cstheme="minorHAnsi"/>
          <w:lang w:eastAsia="en-NZ"/>
        </w:rPr>
        <w:t xml:space="preserve"> </w:t>
      </w:r>
      <w:proofErr w:type="spellStart"/>
      <w:r w:rsidRPr="00D65CCB">
        <w:rPr>
          <w:rFonts w:asciiTheme="minorHAnsi" w:eastAsia="Calibri" w:hAnsiTheme="minorHAnsi" w:cstheme="minorHAnsi"/>
          <w:color w:val="000000" w:themeColor="text1"/>
          <w:lang w:eastAsia="en-NZ"/>
        </w:rPr>
        <w:t>ki</w:t>
      </w:r>
      <w:proofErr w:type="spellEnd"/>
      <w:r w:rsidRPr="00D65CCB">
        <w:rPr>
          <w:rFonts w:asciiTheme="minorHAnsi" w:eastAsia="Calibri" w:hAnsiTheme="minorHAnsi" w:cstheme="minorHAnsi"/>
          <w:color w:val="000000" w:themeColor="text1"/>
          <w:lang w:eastAsia="en-NZ"/>
        </w:rPr>
        <w:t xml:space="preserve"> </w:t>
      </w:r>
      <w:r w:rsidRPr="00D65CCB">
        <w:rPr>
          <w:rFonts w:asciiTheme="minorHAnsi" w:eastAsia="Times New Roman" w:hAnsiTheme="minorHAnsi" w:cstheme="minorHAnsi"/>
          <w:bCs/>
          <w:color w:val="000000" w:themeColor="text1"/>
          <w:lang w:eastAsia="en-NZ"/>
        </w:rPr>
        <w:t xml:space="preserve">ō </w:t>
      </w:r>
      <w:proofErr w:type="spellStart"/>
      <w:r w:rsidRPr="00D65CCB">
        <w:rPr>
          <w:rFonts w:asciiTheme="minorHAnsi" w:eastAsia="Times New Roman" w:hAnsiTheme="minorHAnsi" w:cstheme="minorHAnsi"/>
          <w:bCs/>
          <w:color w:val="000000" w:themeColor="text1"/>
          <w:lang w:eastAsia="en-NZ"/>
        </w:rPr>
        <w:t>mātou</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hapori</w:t>
      </w:r>
      <w:proofErr w:type="spellEnd"/>
      <w:r w:rsidRPr="00D65CCB">
        <w:rPr>
          <w:rFonts w:asciiTheme="minorHAnsi" w:eastAsia="Times New Roman" w:hAnsiTheme="minorHAnsi" w:cstheme="minorHAnsi"/>
          <w:bCs/>
          <w:color w:val="000000" w:themeColor="text1"/>
          <w:lang w:eastAsia="en-NZ"/>
        </w:rPr>
        <w:t xml:space="preserve">, ā, e </w:t>
      </w:r>
      <w:proofErr w:type="spellStart"/>
      <w:r w:rsidRPr="00D65CCB">
        <w:rPr>
          <w:rFonts w:asciiTheme="minorHAnsi" w:eastAsia="Times New Roman" w:hAnsiTheme="minorHAnsi" w:cstheme="minorHAnsi"/>
          <w:bCs/>
          <w:color w:val="000000" w:themeColor="text1"/>
          <w:lang w:eastAsia="en-NZ"/>
        </w:rPr>
        <w:t>arahina</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ana</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mātou</w:t>
      </w:r>
      <w:proofErr w:type="spellEnd"/>
      <w:r w:rsidRPr="00D65CCB">
        <w:rPr>
          <w:rFonts w:asciiTheme="minorHAnsi" w:eastAsia="Times New Roman" w:hAnsiTheme="minorHAnsi" w:cstheme="minorHAnsi"/>
          <w:bCs/>
          <w:color w:val="000000" w:themeColor="text1"/>
          <w:lang w:eastAsia="en-NZ"/>
        </w:rPr>
        <w:t xml:space="preserve"> e </w:t>
      </w:r>
      <w:proofErr w:type="spellStart"/>
      <w:r w:rsidRPr="00D65CCB">
        <w:rPr>
          <w:rFonts w:asciiTheme="minorHAnsi" w:eastAsia="Times New Roman" w:hAnsiTheme="minorHAnsi" w:cstheme="minorHAnsi"/>
          <w:bCs/>
          <w:color w:val="000000" w:themeColor="text1"/>
          <w:lang w:eastAsia="en-NZ"/>
        </w:rPr>
        <w:t>ngā</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mātāpono</w:t>
      </w:r>
      <w:proofErr w:type="spellEnd"/>
      <w:r w:rsidRPr="00D65CCB">
        <w:rPr>
          <w:rFonts w:asciiTheme="minorHAnsi" w:eastAsia="Times New Roman" w:hAnsiTheme="minorHAnsi" w:cstheme="minorHAnsi"/>
          <w:bCs/>
          <w:color w:val="000000" w:themeColor="text1"/>
          <w:lang w:eastAsia="en-NZ"/>
        </w:rPr>
        <w:t xml:space="preserve"> me </w:t>
      </w:r>
      <w:proofErr w:type="spellStart"/>
      <w:r w:rsidRPr="00D65CCB">
        <w:rPr>
          <w:rFonts w:asciiTheme="minorHAnsi" w:eastAsia="Times New Roman" w:hAnsiTheme="minorHAnsi" w:cstheme="minorHAnsi"/>
          <w:bCs/>
          <w:color w:val="000000" w:themeColor="text1"/>
          <w:lang w:eastAsia="en-NZ"/>
        </w:rPr>
        <w:t>ngā</w:t>
      </w:r>
      <w:proofErr w:type="spellEnd"/>
      <w:r w:rsidRPr="00D65CCB">
        <w:rPr>
          <w:rFonts w:asciiTheme="minorHAnsi" w:eastAsia="Times New Roman" w:hAnsiTheme="minorHAnsi" w:cstheme="minorHAnsi"/>
          <w:bCs/>
          <w:color w:val="000000" w:themeColor="text1"/>
          <w:lang w:eastAsia="en-NZ"/>
        </w:rPr>
        <w:t xml:space="preserve"> tikanga </w:t>
      </w:r>
      <w:proofErr w:type="spellStart"/>
      <w:r w:rsidRPr="00D65CCB">
        <w:rPr>
          <w:rFonts w:asciiTheme="minorHAnsi" w:eastAsia="Times New Roman" w:hAnsiTheme="minorHAnsi" w:cstheme="minorHAnsi"/>
          <w:bCs/>
          <w:color w:val="000000" w:themeColor="text1"/>
          <w:lang w:eastAsia="en-NZ"/>
        </w:rPr>
        <w:t>matua</w:t>
      </w:r>
      <w:proofErr w:type="spellEnd"/>
      <w:r w:rsidRPr="00D65CCB">
        <w:rPr>
          <w:rFonts w:asciiTheme="minorHAnsi" w:eastAsia="Times New Roman" w:hAnsiTheme="minorHAnsi" w:cstheme="minorHAnsi"/>
          <w:bCs/>
          <w:color w:val="000000" w:themeColor="text1"/>
          <w:lang w:eastAsia="en-NZ"/>
        </w:rPr>
        <w:t xml:space="preserve"> o </w:t>
      </w:r>
      <w:proofErr w:type="spellStart"/>
      <w:r w:rsidRPr="00D65CCB">
        <w:rPr>
          <w:rFonts w:asciiTheme="minorHAnsi" w:eastAsia="Times New Roman" w:hAnsiTheme="minorHAnsi" w:cstheme="minorHAnsi"/>
          <w:bCs/>
          <w:color w:val="000000" w:themeColor="text1"/>
          <w:lang w:eastAsia="en-NZ"/>
        </w:rPr>
        <w:t>te</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ratonga</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tūmatanui</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i</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roto</w:t>
      </w:r>
      <w:proofErr w:type="spellEnd"/>
      <w:r w:rsidRPr="00D65CCB">
        <w:rPr>
          <w:rFonts w:asciiTheme="minorHAnsi" w:eastAsia="Times New Roman" w:hAnsiTheme="minorHAnsi" w:cstheme="minorHAnsi"/>
          <w:bCs/>
          <w:color w:val="000000" w:themeColor="text1"/>
          <w:lang w:eastAsia="en-NZ"/>
        </w:rPr>
        <w:t xml:space="preserve"> </w:t>
      </w:r>
      <w:proofErr w:type="spellStart"/>
      <w:r w:rsidRPr="00D65CCB">
        <w:rPr>
          <w:rFonts w:asciiTheme="minorHAnsi" w:eastAsia="Times New Roman" w:hAnsiTheme="minorHAnsi" w:cstheme="minorHAnsi"/>
          <w:bCs/>
          <w:color w:val="000000" w:themeColor="text1"/>
          <w:lang w:eastAsia="en-NZ"/>
        </w:rPr>
        <w:t>i</w:t>
      </w:r>
      <w:proofErr w:type="spellEnd"/>
      <w:r w:rsidRPr="00D65CCB">
        <w:rPr>
          <w:rFonts w:asciiTheme="minorHAnsi" w:eastAsia="Times New Roman" w:hAnsiTheme="minorHAnsi" w:cstheme="minorHAnsi"/>
          <w:bCs/>
          <w:color w:val="000000" w:themeColor="text1"/>
          <w:lang w:eastAsia="en-NZ"/>
        </w:rPr>
        <w:t xml:space="preserve"> ā </w:t>
      </w:r>
      <w:proofErr w:type="spellStart"/>
      <w:r w:rsidRPr="00D65CCB">
        <w:rPr>
          <w:rFonts w:asciiTheme="minorHAnsi" w:eastAsia="Times New Roman" w:hAnsiTheme="minorHAnsi" w:cstheme="minorHAnsi"/>
          <w:bCs/>
          <w:color w:val="000000" w:themeColor="text1"/>
          <w:lang w:eastAsia="en-NZ"/>
        </w:rPr>
        <w:t>mātou</w:t>
      </w:r>
      <w:proofErr w:type="spellEnd"/>
      <w:r w:rsidRPr="00D65CCB">
        <w:rPr>
          <w:rFonts w:asciiTheme="minorHAnsi" w:eastAsia="Times New Roman" w:hAnsiTheme="minorHAnsi" w:cstheme="minorHAnsi"/>
          <w:bCs/>
          <w:color w:val="000000" w:themeColor="text1"/>
          <w:lang w:eastAsia="en-NZ"/>
        </w:rPr>
        <w:t xml:space="preserve"> mahi. </w:t>
      </w:r>
    </w:p>
    <w:p w14:paraId="6C65682F" w14:textId="77777777" w:rsidR="00D92385" w:rsidRPr="00D92385" w:rsidRDefault="00D92385" w:rsidP="00D92385">
      <w:pPr>
        <w:spacing w:after="0"/>
        <w:jc w:val="both"/>
        <w:rPr>
          <w:rFonts w:asciiTheme="minorHAnsi" w:eastAsia="Times New Roman" w:hAnsiTheme="minorHAnsi" w:cstheme="minorHAnsi"/>
          <w:bCs/>
          <w:color w:val="2E1459"/>
          <w:lang w:val="en-US" w:eastAsia="en-NZ"/>
        </w:rPr>
      </w:pPr>
    </w:p>
    <w:p w14:paraId="095AD2AE" w14:textId="77777777" w:rsidR="0017733E" w:rsidRPr="00D65CCB" w:rsidRDefault="0017733E" w:rsidP="00331BD9">
      <w:pPr>
        <w:spacing w:after="0"/>
        <w:jc w:val="both"/>
        <w:rPr>
          <w:rFonts w:asciiTheme="minorHAnsi" w:eastAsia="Calibri" w:hAnsiTheme="minorHAnsi" w:cstheme="minorHAnsi"/>
          <w:lang w:eastAsia="en-NZ"/>
        </w:rPr>
      </w:pPr>
      <w:r w:rsidRPr="00D65CCB">
        <w:rPr>
          <w:rFonts w:asciiTheme="minorHAnsi" w:eastAsia="Calibri" w:hAnsiTheme="minorHAnsi" w:cstheme="minorHAnsi"/>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7C511D92" w14:textId="77777777" w:rsidR="000B4D31" w:rsidRDefault="000B4D31">
      <w:pPr>
        <w:rPr>
          <w:sz w:val="22"/>
        </w:rPr>
      </w:pPr>
    </w:p>
    <w:p w14:paraId="4EE86B5D" w14:textId="77777777" w:rsidR="004C4278" w:rsidRDefault="004C4278">
      <w:pPr>
        <w:rPr>
          <w:sz w:val="22"/>
        </w:rPr>
      </w:pPr>
    </w:p>
    <w:p w14:paraId="456BBC68" w14:textId="77777777" w:rsidR="004C4278" w:rsidRDefault="004C4278">
      <w:pPr>
        <w:rPr>
          <w:sz w:val="22"/>
        </w:rPr>
      </w:pPr>
    </w:p>
    <w:p w14:paraId="5127B1A7" w14:textId="77777777" w:rsidR="004C4278" w:rsidRDefault="004C4278">
      <w:pPr>
        <w:rPr>
          <w:sz w:val="22"/>
        </w:rPr>
      </w:pPr>
    </w:p>
    <w:p w14:paraId="7AD745A1" w14:textId="77777777" w:rsidR="004C4278" w:rsidRDefault="004C4278">
      <w:pPr>
        <w:rPr>
          <w:sz w:val="22"/>
        </w:rPr>
      </w:pPr>
    </w:p>
    <w:p w14:paraId="2F973C42" w14:textId="77777777" w:rsidR="004C4278" w:rsidRDefault="004C4278">
      <w:pPr>
        <w:rPr>
          <w:sz w:val="22"/>
        </w:rPr>
      </w:pPr>
    </w:p>
    <w:p w14:paraId="57EF72BD" w14:textId="77777777" w:rsidR="004C4278" w:rsidRDefault="004C4278">
      <w:pPr>
        <w:rPr>
          <w:sz w:val="22"/>
        </w:rPr>
      </w:pPr>
    </w:p>
    <w:p w14:paraId="1811906F" w14:textId="77777777" w:rsidR="004C4278" w:rsidRDefault="004C4278">
      <w:pPr>
        <w:rPr>
          <w:sz w:val="22"/>
        </w:rPr>
      </w:pPr>
    </w:p>
    <w:p w14:paraId="74DEA8A5" w14:textId="77777777" w:rsidR="004C4278" w:rsidRDefault="004C4278">
      <w:pPr>
        <w:rPr>
          <w:sz w:val="22"/>
        </w:rPr>
      </w:pPr>
    </w:p>
    <w:p w14:paraId="1CF8B63C" w14:textId="77777777" w:rsidR="004C4278" w:rsidRDefault="004C4278">
      <w:pPr>
        <w:rPr>
          <w:sz w:val="22"/>
        </w:rPr>
      </w:pPr>
    </w:p>
    <w:p w14:paraId="0C73CBAE" w14:textId="77777777" w:rsidR="004C4278" w:rsidRDefault="004C4278">
      <w:pPr>
        <w:rPr>
          <w:sz w:val="22"/>
        </w:rPr>
      </w:pPr>
    </w:p>
    <w:p w14:paraId="5159884F" w14:textId="77777777" w:rsidR="004C4278" w:rsidRDefault="004C4278">
      <w:pPr>
        <w:rPr>
          <w:sz w:val="22"/>
        </w:rPr>
      </w:pPr>
    </w:p>
    <w:p w14:paraId="72CF1E15" w14:textId="77777777" w:rsidR="004C4278" w:rsidRDefault="004C4278">
      <w:pPr>
        <w:rPr>
          <w:sz w:val="22"/>
        </w:rPr>
      </w:pPr>
    </w:p>
    <w:p w14:paraId="0EC1EE3D" w14:textId="77777777" w:rsidR="004C4278" w:rsidRDefault="004C4278">
      <w:pPr>
        <w:rPr>
          <w:sz w:val="22"/>
        </w:rPr>
      </w:pPr>
    </w:p>
    <w:p w14:paraId="40DD4F22" w14:textId="77777777" w:rsidR="004C4278" w:rsidRDefault="004C4278">
      <w:pPr>
        <w:rPr>
          <w:sz w:val="22"/>
        </w:rPr>
      </w:pPr>
    </w:p>
    <w:p w14:paraId="0531B54E" w14:textId="77777777" w:rsidR="004C4278" w:rsidRDefault="004C4278">
      <w:pPr>
        <w:rPr>
          <w:sz w:val="22"/>
        </w:rPr>
      </w:pPr>
    </w:p>
    <w:p w14:paraId="5F051EAA" w14:textId="77777777" w:rsidR="004C4278" w:rsidRDefault="004C4278">
      <w:pPr>
        <w:rPr>
          <w:sz w:val="22"/>
        </w:rPr>
      </w:pPr>
    </w:p>
    <w:p w14:paraId="62765BD6" w14:textId="77777777" w:rsidR="006713ED" w:rsidRDefault="006713ED" w:rsidP="00DA62E8">
      <w:pPr>
        <w:pStyle w:val="Tinyline"/>
      </w:pPr>
    </w:p>
    <w:p w14:paraId="71AE1926" w14:textId="77777777" w:rsidR="00535DF5" w:rsidRPr="006713ED" w:rsidRDefault="00535DF5" w:rsidP="006713ED">
      <w:pPr>
        <w:pStyle w:val="Tinyline"/>
      </w:pPr>
    </w:p>
    <w:tbl>
      <w:tblPr>
        <w:tblStyle w:val="Blanktable"/>
        <w:tblW w:w="9747"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ayout w:type="fixed"/>
        <w:tblLook w:val="04A0" w:firstRow="1" w:lastRow="0" w:firstColumn="1" w:lastColumn="0" w:noHBand="0" w:noVBand="1"/>
        <w:tblDescription w:val="This table outlines &quot;What you will do to contribute&quot; and what success looks like (&quot;As a result we will see&quot;)"/>
      </w:tblPr>
      <w:tblGrid>
        <w:gridCol w:w="6263"/>
        <w:gridCol w:w="3484"/>
      </w:tblGrid>
      <w:tr w:rsidR="002E3FC4" w:rsidRPr="006B2693" w14:paraId="40CC1AFB" w14:textId="77777777" w:rsidTr="00C94EB2">
        <w:trPr>
          <w:tblHeader/>
        </w:trPr>
        <w:tc>
          <w:tcPr>
            <w:tcW w:w="6263" w:type="dxa"/>
            <w:tcBorders>
              <w:bottom w:val="nil"/>
              <w:right w:val="single" w:sz="6" w:space="0" w:color="FFFFFF" w:themeColor="background1"/>
            </w:tcBorders>
            <w:shd w:val="clear" w:color="auto" w:fill="1F546B" w:themeFill="text2"/>
          </w:tcPr>
          <w:p w14:paraId="3F07C309" w14:textId="77777777"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3484" w:type="dxa"/>
            <w:tcBorders>
              <w:left w:val="single" w:sz="6" w:space="0" w:color="FFFFFF" w:themeColor="background1"/>
              <w:bottom w:val="nil"/>
            </w:tcBorders>
            <w:shd w:val="clear" w:color="auto" w:fill="1F546B" w:themeFill="text2"/>
          </w:tcPr>
          <w:p w14:paraId="27D21068"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D92385" w14:paraId="2EF528E6" w14:textId="77777777" w:rsidTr="00C94EB2">
        <w:trPr>
          <w:trHeight w:val="4740"/>
        </w:trPr>
        <w:tc>
          <w:tcPr>
            <w:tcW w:w="6263" w:type="dxa"/>
            <w:tcBorders>
              <w:top w:val="nil"/>
              <w:left w:val="nil"/>
              <w:bottom w:val="single" w:sz="6" w:space="0" w:color="1F546B" w:themeColor="text2"/>
              <w:right w:val="single" w:sz="6" w:space="0" w:color="1F546B" w:themeColor="text2"/>
            </w:tcBorders>
          </w:tcPr>
          <w:p w14:paraId="7133E7AC" w14:textId="77777777" w:rsidR="002E3FC4" w:rsidRPr="00B008BB" w:rsidRDefault="002E3FC4" w:rsidP="00320CBF">
            <w:pPr>
              <w:pStyle w:val="Default"/>
              <w:rPr>
                <w:b/>
                <w:color w:val="auto"/>
                <w:lang w:eastAsia="en-US"/>
              </w:rPr>
            </w:pPr>
            <w:r w:rsidRPr="00B008BB">
              <w:rPr>
                <w:b/>
                <w:color w:val="auto"/>
                <w:lang w:eastAsia="en-US"/>
              </w:rPr>
              <w:t>Strategy development and implementation</w:t>
            </w:r>
          </w:p>
          <w:p w14:paraId="6F4B9F2D" w14:textId="77777777" w:rsidR="002E3FC4" w:rsidRPr="00B008BB" w:rsidRDefault="002E3FC4" w:rsidP="002E3FC4">
            <w:pPr>
              <w:pStyle w:val="Tablebullet"/>
              <w:numPr>
                <w:ilvl w:val="0"/>
                <w:numId w:val="34"/>
              </w:numPr>
              <w:rPr>
                <w:rFonts w:cs="Calibri"/>
              </w:rPr>
            </w:pPr>
            <w:r w:rsidRPr="00B008BB">
              <w:rPr>
                <w:rFonts w:cs="Calibri"/>
              </w:rPr>
              <w:t xml:space="preserve">Develop and </w:t>
            </w:r>
            <w:r w:rsidR="0066273F" w:rsidRPr="00B008BB">
              <w:rPr>
                <w:rFonts w:cs="Calibri"/>
              </w:rPr>
              <w:t xml:space="preserve">lead </w:t>
            </w:r>
            <w:r w:rsidRPr="00B008BB">
              <w:rPr>
                <w:rFonts w:cs="Calibri"/>
              </w:rPr>
              <w:t xml:space="preserve">the implementation of a strategy </w:t>
            </w:r>
            <w:r w:rsidR="00984771" w:rsidRPr="00B008BB">
              <w:rPr>
                <w:rFonts w:cs="Calibri"/>
              </w:rPr>
              <w:t xml:space="preserve">surrounding Māori engagement in NZLPP and future opportunities for the libraries sector, </w:t>
            </w:r>
            <w:r w:rsidRPr="00B008BB">
              <w:rPr>
                <w:rFonts w:cs="Calibri"/>
              </w:rPr>
              <w:t xml:space="preserve">based on effective consultation with key stakeholders </w:t>
            </w:r>
          </w:p>
          <w:p w14:paraId="43267E8E" w14:textId="77777777" w:rsidR="00C94EB2" w:rsidRPr="00B008BB" w:rsidRDefault="002E3FC4" w:rsidP="00C94EB2">
            <w:pPr>
              <w:pStyle w:val="Tablebullet"/>
              <w:numPr>
                <w:ilvl w:val="0"/>
                <w:numId w:val="34"/>
              </w:numPr>
              <w:rPr>
                <w:rFonts w:cs="Calibri"/>
              </w:rPr>
            </w:pPr>
            <w:r w:rsidRPr="00B008BB">
              <w:rPr>
                <w:rFonts w:cs="Calibri"/>
              </w:rPr>
              <w:t xml:space="preserve">Work </w:t>
            </w:r>
            <w:r w:rsidR="005A68AC" w:rsidRPr="00B008BB">
              <w:rPr>
                <w:rFonts w:cs="Calibri"/>
              </w:rPr>
              <w:t xml:space="preserve">in partnership with relevant organisations and </w:t>
            </w:r>
            <w:r w:rsidR="00C94EB2" w:rsidRPr="00B008BB">
              <w:rPr>
                <w:rFonts w:cs="Calibri"/>
              </w:rPr>
              <w:t>supported by</w:t>
            </w:r>
            <w:r w:rsidRPr="00B008BB">
              <w:rPr>
                <w:rFonts w:cs="Calibri"/>
              </w:rPr>
              <w:t xml:space="preserve"> the programme team to agree a plan which identifies tasks, deliverables, resources</w:t>
            </w:r>
            <w:r w:rsidR="0066273F" w:rsidRPr="00B008BB">
              <w:rPr>
                <w:rFonts w:cs="Calibri"/>
              </w:rPr>
              <w:t xml:space="preserve">, </w:t>
            </w:r>
            <w:r w:rsidRPr="00B008BB">
              <w:rPr>
                <w:rFonts w:cs="Calibri"/>
              </w:rPr>
              <w:t xml:space="preserve">time frames </w:t>
            </w:r>
            <w:r w:rsidR="0066273F" w:rsidRPr="00B008BB">
              <w:rPr>
                <w:rFonts w:cs="Calibri"/>
              </w:rPr>
              <w:t xml:space="preserve">and measures </w:t>
            </w:r>
            <w:r w:rsidRPr="00B008BB">
              <w:rPr>
                <w:rFonts w:cs="Calibri"/>
              </w:rPr>
              <w:t xml:space="preserve">for the </w:t>
            </w:r>
            <w:r w:rsidR="0066273F" w:rsidRPr="00B008BB">
              <w:rPr>
                <w:rFonts w:cs="Calibri"/>
              </w:rPr>
              <w:t xml:space="preserve">successful </w:t>
            </w:r>
            <w:r w:rsidRPr="00B008BB">
              <w:rPr>
                <w:rFonts w:cs="Calibri"/>
              </w:rPr>
              <w:t>implementation of the strategy</w:t>
            </w:r>
          </w:p>
          <w:p w14:paraId="36D1D525" w14:textId="77777777" w:rsidR="002E3FC4" w:rsidRPr="00B008BB" w:rsidRDefault="002E3FC4" w:rsidP="00C94EB2">
            <w:pPr>
              <w:pStyle w:val="Tablebullet"/>
              <w:numPr>
                <w:ilvl w:val="0"/>
                <w:numId w:val="34"/>
              </w:numPr>
              <w:rPr>
                <w:rFonts w:cs="Calibri"/>
              </w:rPr>
            </w:pPr>
            <w:r w:rsidRPr="00B008BB">
              <w:rPr>
                <w:rFonts w:cs="Calibri"/>
              </w:rPr>
              <w:t xml:space="preserve">Support the </w:t>
            </w:r>
            <w:r w:rsidR="008C026F" w:rsidRPr="00B008BB">
              <w:rPr>
                <w:rFonts w:cs="Calibri"/>
              </w:rPr>
              <w:t>Libraries Sector</w:t>
            </w:r>
            <w:r w:rsidRPr="00B008BB">
              <w:rPr>
                <w:rFonts w:cs="Calibri"/>
              </w:rPr>
              <w:t xml:space="preserve"> project to ensure </w:t>
            </w:r>
            <w:r w:rsidR="008C026F" w:rsidRPr="00B008BB">
              <w:rPr>
                <w:rFonts w:cs="Calibri"/>
              </w:rPr>
              <w:t xml:space="preserve">that </w:t>
            </w:r>
            <w:r w:rsidRPr="00B008BB">
              <w:rPr>
                <w:rFonts w:cs="Calibri"/>
              </w:rPr>
              <w:t xml:space="preserve">an integrated </w:t>
            </w:r>
            <w:r w:rsidR="00984771" w:rsidRPr="00B008BB">
              <w:rPr>
                <w:rFonts w:cs="Calibri"/>
              </w:rPr>
              <w:t xml:space="preserve">and future focused </w:t>
            </w:r>
            <w:r w:rsidRPr="00B008BB">
              <w:rPr>
                <w:rFonts w:cs="Calibri"/>
              </w:rPr>
              <w:t xml:space="preserve">approach </w:t>
            </w:r>
            <w:r w:rsidR="00C94EB2" w:rsidRPr="00B008BB">
              <w:rPr>
                <w:rFonts w:cs="Calibri"/>
              </w:rPr>
              <w:t>is developed that</w:t>
            </w:r>
            <w:r w:rsidRPr="00B008BB">
              <w:rPr>
                <w:rFonts w:cs="Calibri"/>
              </w:rPr>
              <w:t xml:space="preserve"> </w:t>
            </w:r>
            <w:r w:rsidR="00A34F21" w:rsidRPr="00B008BB">
              <w:rPr>
                <w:rFonts w:cs="Calibri"/>
              </w:rPr>
              <w:t>includes</w:t>
            </w:r>
            <w:r w:rsidR="00C94EB2" w:rsidRPr="00B008BB">
              <w:rPr>
                <w:rFonts w:cs="Calibri"/>
              </w:rPr>
              <w:t xml:space="preserve"> </w:t>
            </w:r>
            <w:r w:rsidR="00A47564" w:rsidRPr="00B008BB">
              <w:rPr>
                <w:rFonts w:cs="Calibri"/>
              </w:rPr>
              <w:t>Māori perspective</w:t>
            </w:r>
            <w:r w:rsidR="00A34F21" w:rsidRPr="00B008BB">
              <w:rPr>
                <w:rFonts w:cs="Calibri"/>
              </w:rPr>
              <w:t>s</w:t>
            </w:r>
            <w:r w:rsidR="00C94EB2" w:rsidRPr="00B008BB">
              <w:rPr>
                <w:rFonts w:cs="Calibri"/>
              </w:rPr>
              <w:t xml:space="preserve"> and is sustainable</w:t>
            </w:r>
          </w:p>
          <w:p w14:paraId="2AEAB1D4" w14:textId="77777777" w:rsidR="003D175D" w:rsidRPr="00B008BB" w:rsidRDefault="002E3FC4" w:rsidP="00C94EB2">
            <w:pPr>
              <w:pStyle w:val="Tablebullet"/>
              <w:numPr>
                <w:ilvl w:val="0"/>
                <w:numId w:val="34"/>
              </w:numPr>
              <w:rPr>
                <w:rFonts w:cs="Calibri"/>
              </w:rPr>
            </w:pPr>
            <w:r w:rsidRPr="00B008BB">
              <w:rPr>
                <w:rFonts w:cs="Calibri"/>
              </w:rPr>
              <w:t xml:space="preserve">Facilitate regular reviews of the strategy and approach with the programme team and Assurance Group </w:t>
            </w:r>
          </w:p>
          <w:p w14:paraId="08B4CD23" w14:textId="77777777" w:rsidR="00C94EB2" w:rsidRPr="00B008BB" w:rsidRDefault="00C94EB2" w:rsidP="00C94EB2">
            <w:pPr>
              <w:pStyle w:val="Tablebullet"/>
              <w:numPr>
                <w:ilvl w:val="0"/>
                <w:numId w:val="34"/>
              </w:numPr>
              <w:rPr>
                <w:rFonts w:cs="Calibri"/>
              </w:rPr>
            </w:pPr>
            <w:r w:rsidRPr="00B008BB">
              <w:rPr>
                <w:rFonts w:cs="Calibri"/>
              </w:rPr>
              <w:t>Lead the development of a sustainability plan for the Strategy</w:t>
            </w:r>
          </w:p>
        </w:tc>
        <w:tc>
          <w:tcPr>
            <w:tcW w:w="3484" w:type="dxa"/>
            <w:tcBorders>
              <w:top w:val="nil"/>
              <w:left w:val="single" w:sz="6" w:space="0" w:color="1F546B" w:themeColor="text2"/>
              <w:bottom w:val="single" w:sz="6" w:space="0" w:color="1F546B" w:themeColor="text2"/>
              <w:right w:val="nil"/>
            </w:tcBorders>
          </w:tcPr>
          <w:p w14:paraId="1B2E7742" w14:textId="77777777" w:rsidR="0049466D" w:rsidRPr="00B008BB" w:rsidRDefault="0049466D" w:rsidP="002E3FC4">
            <w:pPr>
              <w:pStyle w:val="Default"/>
              <w:numPr>
                <w:ilvl w:val="0"/>
                <w:numId w:val="34"/>
              </w:numPr>
              <w:spacing w:after="57"/>
              <w:ind w:left="357" w:hanging="357"/>
              <w:rPr>
                <w:color w:val="auto"/>
                <w:lang w:eastAsia="en-US"/>
              </w:rPr>
            </w:pPr>
            <w:r w:rsidRPr="00B008BB">
              <w:rPr>
                <w:color w:val="auto"/>
                <w:lang w:eastAsia="en-US"/>
              </w:rPr>
              <w:t xml:space="preserve">Development of a clear, cohesive and compelling </w:t>
            </w:r>
            <w:r w:rsidR="00DD55FB" w:rsidRPr="00B008BB">
              <w:rPr>
                <w:color w:val="auto"/>
                <w:lang w:eastAsia="en-US"/>
              </w:rPr>
              <w:t>Strategy</w:t>
            </w:r>
          </w:p>
          <w:p w14:paraId="60A1D3A6" w14:textId="77777777" w:rsidR="00883B8D" w:rsidRPr="00B008BB" w:rsidRDefault="00C94EB2" w:rsidP="002E3FC4">
            <w:pPr>
              <w:pStyle w:val="Tablebullet"/>
              <w:numPr>
                <w:ilvl w:val="0"/>
                <w:numId w:val="34"/>
              </w:numPr>
              <w:ind w:left="357" w:hanging="357"/>
              <w:rPr>
                <w:rFonts w:cs="Calibri"/>
              </w:rPr>
            </w:pPr>
            <w:r w:rsidRPr="00B008BB">
              <w:rPr>
                <w:rFonts w:cs="Calibri"/>
              </w:rPr>
              <w:t xml:space="preserve">An integrated </w:t>
            </w:r>
            <w:r w:rsidR="00883B8D" w:rsidRPr="00B008BB">
              <w:rPr>
                <w:rFonts w:cs="Calibri"/>
              </w:rPr>
              <w:t>and cohesive approach to strategy, framework and policy dev</w:t>
            </w:r>
            <w:r w:rsidRPr="00B008BB">
              <w:rPr>
                <w:rFonts w:cs="Calibri"/>
              </w:rPr>
              <w:t xml:space="preserve">elopment in which all policies </w:t>
            </w:r>
            <w:r w:rsidR="00883B8D" w:rsidRPr="00B008BB">
              <w:rPr>
                <w:rFonts w:cs="Calibri"/>
              </w:rPr>
              <w:t xml:space="preserve">and initiatives </w:t>
            </w:r>
            <w:r w:rsidRPr="00B008BB">
              <w:rPr>
                <w:rFonts w:cs="Calibri"/>
              </w:rPr>
              <w:t xml:space="preserve">include a Māori perspective and </w:t>
            </w:r>
            <w:r w:rsidR="00883B8D" w:rsidRPr="00B008BB">
              <w:rPr>
                <w:rFonts w:cs="Calibri"/>
              </w:rPr>
              <w:t xml:space="preserve">support Programme </w:t>
            </w:r>
            <w:r w:rsidRPr="00B008BB">
              <w:rPr>
                <w:rFonts w:cs="Calibri"/>
              </w:rPr>
              <w:t>goals</w:t>
            </w:r>
          </w:p>
          <w:p w14:paraId="3B417BBE" w14:textId="77777777" w:rsidR="002E563A" w:rsidRPr="00B008BB" w:rsidRDefault="002E563A" w:rsidP="002E3FC4">
            <w:pPr>
              <w:pStyle w:val="Default"/>
              <w:numPr>
                <w:ilvl w:val="0"/>
                <w:numId w:val="34"/>
              </w:numPr>
              <w:spacing w:after="57"/>
              <w:ind w:left="357" w:hanging="357"/>
              <w:rPr>
                <w:color w:val="auto"/>
                <w:lang w:eastAsia="en-US"/>
              </w:rPr>
            </w:pPr>
            <w:r w:rsidRPr="00B008BB">
              <w:rPr>
                <w:color w:val="auto"/>
                <w:lang w:eastAsia="en-US"/>
              </w:rPr>
              <w:t xml:space="preserve">A long-term plan for the sustainability of the </w:t>
            </w:r>
            <w:r w:rsidR="00DD55FB" w:rsidRPr="00B008BB">
              <w:rPr>
                <w:color w:val="auto"/>
                <w:lang w:eastAsia="en-US"/>
              </w:rPr>
              <w:t xml:space="preserve">Strategy </w:t>
            </w:r>
            <w:r w:rsidRPr="00B008BB">
              <w:rPr>
                <w:color w:val="auto"/>
                <w:lang w:eastAsia="en-US"/>
              </w:rPr>
              <w:t xml:space="preserve">is agreed    </w:t>
            </w:r>
          </w:p>
          <w:p w14:paraId="5A350C34" w14:textId="77777777" w:rsidR="002E3FC4" w:rsidRPr="00B008BB" w:rsidRDefault="002E3FC4" w:rsidP="005C28BA">
            <w:pPr>
              <w:pStyle w:val="Default"/>
              <w:spacing w:after="57"/>
              <w:rPr>
                <w:color w:val="auto"/>
              </w:rPr>
            </w:pPr>
          </w:p>
          <w:p w14:paraId="4021FB1C" w14:textId="77777777" w:rsidR="002E3FC4" w:rsidRPr="00B008BB" w:rsidRDefault="002E3FC4" w:rsidP="005C28BA">
            <w:pPr>
              <w:pStyle w:val="Default"/>
              <w:spacing w:after="57"/>
              <w:rPr>
                <w:color w:val="auto"/>
              </w:rPr>
            </w:pPr>
          </w:p>
          <w:p w14:paraId="72AB414D" w14:textId="77777777" w:rsidR="002E3FC4" w:rsidRPr="00B008BB" w:rsidRDefault="002E3FC4" w:rsidP="005C28BA">
            <w:pPr>
              <w:pStyle w:val="Default"/>
              <w:spacing w:after="57"/>
              <w:rPr>
                <w:color w:val="auto"/>
              </w:rPr>
            </w:pPr>
          </w:p>
        </w:tc>
      </w:tr>
      <w:tr w:rsidR="003D175D" w:rsidRPr="00D92385" w14:paraId="48FEDE70" w14:textId="77777777" w:rsidTr="00C94EB2">
        <w:tc>
          <w:tcPr>
            <w:tcW w:w="6263" w:type="dxa"/>
            <w:tcBorders>
              <w:top w:val="nil"/>
              <w:left w:val="nil"/>
              <w:bottom w:val="single" w:sz="6" w:space="0" w:color="1F546B" w:themeColor="text2"/>
              <w:right w:val="single" w:sz="6" w:space="0" w:color="1F546B" w:themeColor="text2"/>
            </w:tcBorders>
          </w:tcPr>
          <w:p w14:paraId="0E2ED833" w14:textId="77777777" w:rsidR="002E3FC4" w:rsidRPr="00B008BB" w:rsidRDefault="002E3FC4" w:rsidP="002E3FC4">
            <w:pPr>
              <w:pStyle w:val="Default"/>
              <w:rPr>
                <w:b/>
                <w:color w:val="auto"/>
                <w:lang w:eastAsia="en-US"/>
              </w:rPr>
            </w:pPr>
            <w:r w:rsidRPr="00B008BB">
              <w:rPr>
                <w:b/>
                <w:color w:val="auto"/>
                <w:lang w:eastAsia="en-US"/>
              </w:rPr>
              <w:t>Programme Cultural Leadership and Advice</w:t>
            </w:r>
          </w:p>
          <w:p w14:paraId="56112FEC" w14:textId="77777777" w:rsidR="002E3FC4" w:rsidRPr="00B008BB" w:rsidRDefault="00C94EB2" w:rsidP="002E3FC4">
            <w:pPr>
              <w:pStyle w:val="Tablebullet"/>
              <w:numPr>
                <w:ilvl w:val="0"/>
                <w:numId w:val="34"/>
              </w:numPr>
              <w:rPr>
                <w:rFonts w:cs="Calibri"/>
              </w:rPr>
            </w:pPr>
            <w:bookmarkStart w:id="0" w:name="_GoBack"/>
            <w:bookmarkEnd w:id="0"/>
            <w:r w:rsidRPr="00B008BB">
              <w:rPr>
                <w:rFonts w:cs="Calibri"/>
              </w:rPr>
              <w:t xml:space="preserve">Apply a </w:t>
            </w:r>
            <w:proofErr w:type="spellStart"/>
            <w:r w:rsidRPr="00B008BB">
              <w:rPr>
                <w:rFonts w:cs="Calibri"/>
              </w:rPr>
              <w:t>t</w:t>
            </w:r>
            <w:r w:rsidR="002E3FC4" w:rsidRPr="00B008BB">
              <w:rPr>
                <w:rFonts w:cs="Calibri"/>
              </w:rPr>
              <w:t>e</w:t>
            </w:r>
            <w:proofErr w:type="spellEnd"/>
            <w:r w:rsidR="002E3FC4" w:rsidRPr="00B008BB">
              <w:rPr>
                <w:rFonts w:cs="Calibri"/>
              </w:rPr>
              <w:t xml:space="preserve"> </w:t>
            </w:r>
            <w:proofErr w:type="spellStart"/>
            <w:r w:rsidR="002E3FC4" w:rsidRPr="00B008BB">
              <w:rPr>
                <w:rFonts w:cs="Calibri"/>
              </w:rPr>
              <w:t>ao</w:t>
            </w:r>
            <w:proofErr w:type="spellEnd"/>
            <w:r w:rsidR="002E3FC4" w:rsidRPr="00B008BB">
              <w:rPr>
                <w:rFonts w:cs="Calibri"/>
              </w:rPr>
              <w:t xml:space="preserve"> Māori lens to the entire Programme to create value and deliver outcomes for key stakeholders </w:t>
            </w:r>
          </w:p>
          <w:p w14:paraId="6C685F53" w14:textId="77777777" w:rsidR="002E3FC4" w:rsidRPr="00B008BB" w:rsidRDefault="002E3FC4" w:rsidP="002E3FC4">
            <w:pPr>
              <w:pStyle w:val="Default"/>
              <w:numPr>
                <w:ilvl w:val="0"/>
                <w:numId w:val="34"/>
              </w:numPr>
              <w:spacing w:after="57"/>
              <w:rPr>
                <w:color w:val="auto"/>
                <w:lang w:eastAsia="en-US"/>
              </w:rPr>
            </w:pPr>
            <w:r w:rsidRPr="00B008BB">
              <w:rPr>
                <w:color w:val="auto"/>
                <w:lang w:eastAsia="en-US"/>
              </w:rPr>
              <w:t xml:space="preserve">Demonstrate cultural leadership that inspires confidence and builds knowledge across the team in </w:t>
            </w:r>
            <w:proofErr w:type="spellStart"/>
            <w:r w:rsidRPr="00B008BB">
              <w:rPr>
                <w:color w:val="auto"/>
                <w:lang w:eastAsia="en-US"/>
              </w:rPr>
              <w:t>te</w:t>
            </w:r>
            <w:proofErr w:type="spellEnd"/>
            <w:r w:rsidRPr="00B008BB">
              <w:rPr>
                <w:color w:val="auto"/>
                <w:lang w:eastAsia="en-US"/>
              </w:rPr>
              <w:t xml:space="preserve"> </w:t>
            </w:r>
            <w:proofErr w:type="spellStart"/>
            <w:r w:rsidRPr="00B008BB">
              <w:rPr>
                <w:color w:val="auto"/>
                <w:lang w:eastAsia="en-US"/>
              </w:rPr>
              <w:t>reo</w:t>
            </w:r>
            <w:proofErr w:type="spellEnd"/>
            <w:r w:rsidRPr="00B008BB">
              <w:rPr>
                <w:color w:val="auto"/>
                <w:lang w:eastAsia="en-US"/>
              </w:rPr>
              <w:t xml:space="preserve"> Māori and tikanga Māori to achieve the Programme’s goals</w:t>
            </w:r>
          </w:p>
          <w:p w14:paraId="7B1DF73F" w14:textId="77777777" w:rsidR="002E3FC4" w:rsidRPr="00B008BB" w:rsidRDefault="0066273F" w:rsidP="002E3FC4">
            <w:pPr>
              <w:pStyle w:val="Default"/>
              <w:numPr>
                <w:ilvl w:val="0"/>
                <w:numId w:val="34"/>
              </w:numPr>
              <w:spacing w:after="57"/>
              <w:rPr>
                <w:color w:val="auto"/>
                <w:lang w:eastAsia="en-US"/>
              </w:rPr>
            </w:pPr>
            <w:r w:rsidRPr="00B008BB">
              <w:rPr>
                <w:color w:val="auto"/>
                <w:lang w:eastAsia="en-US"/>
              </w:rPr>
              <w:t>Working w</w:t>
            </w:r>
            <w:r w:rsidR="002E3FC4" w:rsidRPr="00B008BB">
              <w:rPr>
                <w:color w:val="auto"/>
                <w:lang w:eastAsia="en-US"/>
              </w:rPr>
              <w:t xml:space="preserve">ith </w:t>
            </w:r>
            <w:r w:rsidR="005A68AC" w:rsidRPr="00B008BB">
              <w:rPr>
                <w:color w:val="auto"/>
                <w:lang w:eastAsia="en-US"/>
              </w:rPr>
              <w:t xml:space="preserve">partners and </w:t>
            </w:r>
            <w:r w:rsidR="002E3FC4" w:rsidRPr="00B008BB">
              <w:rPr>
                <w:color w:val="auto"/>
                <w:lang w:eastAsia="en-US"/>
              </w:rPr>
              <w:t>colleagues</w:t>
            </w:r>
            <w:r w:rsidRPr="00B008BB">
              <w:rPr>
                <w:color w:val="auto"/>
                <w:lang w:eastAsia="en-US"/>
              </w:rPr>
              <w:t xml:space="preserve"> to</w:t>
            </w:r>
            <w:r w:rsidR="002E3FC4" w:rsidRPr="00B008BB">
              <w:rPr>
                <w:color w:val="auto"/>
                <w:lang w:eastAsia="en-US"/>
              </w:rPr>
              <w:t xml:space="preserve"> </w:t>
            </w:r>
            <w:r w:rsidRPr="00B008BB">
              <w:rPr>
                <w:color w:val="auto"/>
                <w:lang w:eastAsia="en-US"/>
              </w:rPr>
              <w:t xml:space="preserve">ensure </w:t>
            </w:r>
            <w:r w:rsidR="002E3FC4" w:rsidRPr="00B008BB">
              <w:rPr>
                <w:color w:val="auto"/>
                <w:lang w:eastAsia="en-US"/>
              </w:rPr>
              <w:t xml:space="preserve">that the Strategy is embedded in the programme’s systems and processes, normalising its use and value by the team, management and other staff </w:t>
            </w:r>
          </w:p>
          <w:p w14:paraId="0EF49B92" w14:textId="77777777" w:rsidR="00DA35E4" w:rsidRPr="00B008BB" w:rsidRDefault="00DA35E4" w:rsidP="00DA35E4">
            <w:pPr>
              <w:pStyle w:val="Tablebullet"/>
              <w:numPr>
                <w:ilvl w:val="0"/>
                <w:numId w:val="34"/>
              </w:numPr>
              <w:rPr>
                <w:rFonts w:cs="Calibri"/>
              </w:rPr>
            </w:pPr>
            <w:r w:rsidRPr="00B008BB">
              <w:rPr>
                <w:rFonts w:cs="Calibri"/>
              </w:rPr>
              <w:t xml:space="preserve">Provide advice and support to increase the capability </w:t>
            </w:r>
            <w:r w:rsidRPr="00B008BB">
              <w:rPr>
                <w:rFonts w:eastAsia="Times New Roman" w:cs="Calibri"/>
                <w:lang w:eastAsia="en-NZ"/>
              </w:rPr>
              <w:t xml:space="preserve">of programme funded positions focussed on </w:t>
            </w:r>
            <w:proofErr w:type="spellStart"/>
            <w:r w:rsidRPr="00B008BB">
              <w:rPr>
                <w:rFonts w:eastAsia="Times New Roman" w:cs="Calibri"/>
                <w:lang w:eastAsia="en-NZ"/>
              </w:rPr>
              <w:t>te</w:t>
            </w:r>
            <w:proofErr w:type="spellEnd"/>
            <w:r w:rsidRPr="00B008BB">
              <w:rPr>
                <w:rFonts w:eastAsia="Times New Roman" w:cs="Calibri"/>
                <w:lang w:eastAsia="en-NZ"/>
              </w:rPr>
              <w:t xml:space="preserve"> </w:t>
            </w:r>
            <w:proofErr w:type="spellStart"/>
            <w:r w:rsidRPr="00B008BB">
              <w:rPr>
                <w:rFonts w:eastAsia="Times New Roman" w:cs="Calibri"/>
                <w:lang w:eastAsia="en-NZ"/>
              </w:rPr>
              <w:t>reo</w:t>
            </w:r>
            <w:proofErr w:type="spellEnd"/>
            <w:r w:rsidRPr="00B008BB">
              <w:rPr>
                <w:rFonts w:eastAsia="Times New Roman" w:cs="Calibri"/>
                <w:lang w:eastAsia="en-NZ"/>
              </w:rPr>
              <w:t xml:space="preserve"> and </w:t>
            </w:r>
            <w:proofErr w:type="spellStart"/>
            <w:r w:rsidRPr="00B008BB">
              <w:rPr>
                <w:rFonts w:eastAsia="Times New Roman" w:cs="Calibri"/>
                <w:lang w:eastAsia="en-NZ"/>
              </w:rPr>
              <w:t>Mātauranga</w:t>
            </w:r>
            <w:proofErr w:type="spellEnd"/>
            <w:r w:rsidRPr="00B008BB">
              <w:rPr>
                <w:rFonts w:eastAsia="Times New Roman" w:cs="Calibri"/>
                <w:lang w:eastAsia="en-NZ"/>
              </w:rPr>
              <w:t xml:space="preserve"> Māori within the libraries sector</w:t>
            </w:r>
          </w:p>
          <w:p w14:paraId="47A33515" w14:textId="77777777" w:rsidR="003D175D" w:rsidRPr="00B008BB" w:rsidRDefault="002E3FC4" w:rsidP="00D92385">
            <w:pPr>
              <w:pStyle w:val="Default"/>
              <w:numPr>
                <w:ilvl w:val="0"/>
                <w:numId w:val="34"/>
              </w:numPr>
              <w:spacing w:after="57"/>
              <w:rPr>
                <w:color w:val="auto"/>
                <w:lang w:eastAsia="en-US"/>
              </w:rPr>
            </w:pPr>
            <w:r w:rsidRPr="00B008BB">
              <w:rPr>
                <w:color w:val="auto"/>
                <w:lang w:eastAsia="en-US"/>
              </w:rPr>
              <w:t xml:space="preserve">Facilitate the programme team and programme leadership to build strong relationships with </w:t>
            </w:r>
            <w:r w:rsidR="005A68AC" w:rsidRPr="00B008BB">
              <w:rPr>
                <w:color w:val="auto"/>
                <w:lang w:eastAsia="en-US"/>
              </w:rPr>
              <w:t>our iwi/Māori partners</w:t>
            </w:r>
            <w:r w:rsidR="00C94EB2" w:rsidRPr="00B008BB">
              <w:rPr>
                <w:color w:val="auto"/>
                <w:lang w:eastAsia="en-US"/>
              </w:rPr>
              <w:t xml:space="preserve"> and</w:t>
            </w:r>
            <w:r w:rsidR="005A68AC" w:rsidRPr="00B008BB">
              <w:rPr>
                <w:color w:val="auto"/>
                <w:lang w:eastAsia="en-US"/>
              </w:rPr>
              <w:t xml:space="preserve"> </w:t>
            </w:r>
            <w:r w:rsidRPr="00B008BB">
              <w:rPr>
                <w:color w:val="auto"/>
                <w:lang w:eastAsia="en-US"/>
              </w:rPr>
              <w:t>Māori Librarians which lead to partnerships to achieve the goals of the Programme</w:t>
            </w:r>
          </w:p>
        </w:tc>
        <w:tc>
          <w:tcPr>
            <w:tcW w:w="3484" w:type="dxa"/>
            <w:tcBorders>
              <w:top w:val="nil"/>
              <w:left w:val="single" w:sz="6" w:space="0" w:color="1F546B" w:themeColor="text2"/>
              <w:bottom w:val="single" w:sz="6" w:space="0" w:color="1F546B" w:themeColor="text2"/>
              <w:right w:val="nil"/>
            </w:tcBorders>
          </w:tcPr>
          <w:p w14:paraId="5B383095" w14:textId="77777777" w:rsidR="002E3FC4" w:rsidRPr="00B008BB" w:rsidRDefault="002E3FC4" w:rsidP="002E3FC4">
            <w:pPr>
              <w:pStyle w:val="Default"/>
              <w:numPr>
                <w:ilvl w:val="0"/>
                <w:numId w:val="34"/>
              </w:numPr>
              <w:spacing w:after="57"/>
              <w:ind w:left="367" w:hanging="293"/>
              <w:rPr>
                <w:color w:val="auto"/>
                <w:lang w:eastAsia="en-US"/>
              </w:rPr>
            </w:pPr>
            <w:r w:rsidRPr="00B008BB">
              <w:rPr>
                <w:color w:val="auto"/>
                <w:lang w:eastAsia="en-US"/>
              </w:rPr>
              <w:t xml:space="preserve">Clear and mutually agreed definition of success established for the programme and sector outcomes </w:t>
            </w:r>
          </w:p>
          <w:p w14:paraId="15ACA8B0" w14:textId="77777777" w:rsidR="002E3FC4" w:rsidRPr="00B008BB" w:rsidRDefault="005A68AC" w:rsidP="002E3FC4">
            <w:pPr>
              <w:pStyle w:val="Default"/>
              <w:numPr>
                <w:ilvl w:val="0"/>
                <w:numId w:val="34"/>
              </w:numPr>
              <w:spacing w:after="57"/>
              <w:ind w:left="367" w:hanging="293"/>
              <w:rPr>
                <w:color w:val="auto"/>
                <w:lang w:eastAsia="en-US"/>
              </w:rPr>
            </w:pPr>
            <w:r w:rsidRPr="00B008BB">
              <w:rPr>
                <w:color w:val="auto"/>
                <w:lang w:eastAsia="en-US"/>
              </w:rPr>
              <w:t>Partners and key s</w:t>
            </w:r>
            <w:r w:rsidR="002E3FC4" w:rsidRPr="00B008BB">
              <w:rPr>
                <w:color w:val="auto"/>
                <w:lang w:eastAsia="en-US"/>
              </w:rPr>
              <w:t>takeholders are satisfied with programme approach and feel involved in its development and implementation. </w:t>
            </w:r>
          </w:p>
          <w:p w14:paraId="1BD01246" w14:textId="77777777" w:rsidR="002E3FC4" w:rsidRPr="00B008BB" w:rsidRDefault="002E3FC4" w:rsidP="002E3FC4">
            <w:pPr>
              <w:pStyle w:val="Default"/>
              <w:numPr>
                <w:ilvl w:val="0"/>
                <w:numId w:val="34"/>
              </w:numPr>
              <w:spacing w:after="57"/>
              <w:ind w:left="367" w:hanging="293"/>
              <w:rPr>
                <w:color w:val="auto"/>
                <w:lang w:eastAsia="en-US"/>
              </w:rPr>
            </w:pPr>
            <w:r w:rsidRPr="00B008BB">
              <w:rPr>
                <w:color w:val="auto"/>
                <w:lang w:eastAsia="en-US"/>
              </w:rPr>
              <w:t xml:space="preserve">An </w:t>
            </w:r>
            <w:r w:rsidR="00A47564" w:rsidRPr="00B008BB">
              <w:rPr>
                <w:color w:val="auto"/>
                <w:lang w:eastAsia="en-US"/>
              </w:rPr>
              <w:t xml:space="preserve">opportunity to </w:t>
            </w:r>
            <w:r w:rsidRPr="00B008BB">
              <w:rPr>
                <w:color w:val="auto"/>
                <w:lang w:eastAsia="en-US"/>
              </w:rPr>
              <w:t xml:space="preserve">uplift in knowledge within the team around </w:t>
            </w:r>
            <w:proofErr w:type="spellStart"/>
            <w:r w:rsidRPr="00B008BB">
              <w:rPr>
                <w:color w:val="auto"/>
                <w:lang w:eastAsia="en-US"/>
              </w:rPr>
              <w:t>te</w:t>
            </w:r>
            <w:proofErr w:type="spellEnd"/>
            <w:r w:rsidRPr="00B008BB">
              <w:rPr>
                <w:color w:val="auto"/>
                <w:lang w:eastAsia="en-US"/>
              </w:rPr>
              <w:t xml:space="preserve"> </w:t>
            </w:r>
            <w:proofErr w:type="spellStart"/>
            <w:r w:rsidRPr="00B008BB">
              <w:rPr>
                <w:color w:val="auto"/>
                <w:lang w:eastAsia="en-US"/>
              </w:rPr>
              <w:t>ao</w:t>
            </w:r>
            <w:proofErr w:type="spellEnd"/>
            <w:r w:rsidRPr="00B008BB">
              <w:rPr>
                <w:color w:val="auto"/>
                <w:lang w:eastAsia="en-US"/>
              </w:rPr>
              <w:t xml:space="preserve"> Māori and the integration of </w:t>
            </w:r>
            <w:proofErr w:type="spellStart"/>
            <w:r w:rsidRPr="00B008BB">
              <w:rPr>
                <w:color w:val="auto"/>
                <w:lang w:eastAsia="en-US"/>
              </w:rPr>
              <w:t>kaupapa</w:t>
            </w:r>
            <w:proofErr w:type="spellEnd"/>
            <w:r w:rsidRPr="00B008BB">
              <w:rPr>
                <w:color w:val="auto"/>
                <w:lang w:eastAsia="en-US"/>
              </w:rPr>
              <w:t xml:space="preserve"> Māori frameworks and methodologies</w:t>
            </w:r>
            <w:r w:rsidR="00A47564" w:rsidRPr="00B008BB">
              <w:rPr>
                <w:color w:val="auto"/>
                <w:lang w:eastAsia="en-US"/>
              </w:rPr>
              <w:t xml:space="preserve"> into the programme</w:t>
            </w:r>
            <w:r w:rsidR="00C94EB2" w:rsidRPr="00B008BB">
              <w:rPr>
                <w:color w:val="auto"/>
                <w:lang w:eastAsia="en-US"/>
              </w:rPr>
              <w:t xml:space="preserve"> mahi</w:t>
            </w:r>
          </w:p>
          <w:p w14:paraId="1859D2F6" w14:textId="77777777" w:rsidR="00DD55FB" w:rsidRPr="00B008BB" w:rsidRDefault="00DD55FB" w:rsidP="00DD55FB">
            <w:pPr>
              <w:pStyle w:val="Default"/>
              <w:spacing w:after="57"/>
              <w:ind w:left="720"/>
              <w:rPr>
                <w:color w:val="auto"/>
              </w:rPr>
            </w:pPr>
          </w:p>
        </w:tc>
      </w:tr>
      <w:tr w:rsidR="003D175D" w:rsidRPr="00D92385" w14:paraId="775175C8" w14:textId="77777777" w:rsidTr="00C94EB2">
        <w:tc>
          <w:tcPr>
            <w:tcW w:w="6263" w:type="dxa"/>
            <w:tcBorders>
              <w:top w:val="nil"/>
              <w:left w:val="nil"/>
              <w:bottom w:val="single" w:sz="6" w:space="0" w:color="1F546B" w:themeColor="text2"/>
              <w:right w:val="single" w:sz="6" w:space="0" w:color="1F546B" w:themeColor="text2"/>
            </w:tcBorders>
          </w:tcPr>
          <w:p w14:paraId="74A85BEE" w14:textId="77777777" w:rsidR="002E563A" w:rsidRPr="00D92385" w:rsidRDefault="002E3FC4" w:rsidP="002E563A">
            <w:pPr>
              <w:pStyle w:val="Default"/>
              <w:spacing w:after="57"/>
              <w:rPr>
                <w:b/>
                <w:color w:val="auto"/>
                <w:lang w:eastAsia="en-US"/>
              </w:rPr>
            </w:pPr>
            <w:r w:rsidRPr="00D92385">
              <w:rPr>
                <w:b/>
                <w:color w:val="auto"/>
                <w:lang w:eastAsia="en-US"/>
              </w:rPr>
              <w:t xml:space="preserve">Stakeholder Engagement </w:t>
            </w:r>
          </w:p>
          <w:p w14:paraId="79DBB337" w14:textId="77777777" w:rsidR="002E563A" w:rsidRPr="00D92385" w:rsidRDefault="002E3FC4" w:rsidP="002E3FC4">
            <w:pPr>
              <w:pStyle w:val="Default"/>
              <w:numPr>
                <w:ilvl w:val="0"/>
                <w:numId w:val="37"/>
              </w:numPr>
              <w:spacing w:after="57"/>
              <w:rPr>
                <w:color w:val="auto"/>
                <w:lang w:eastAsia="en-US"/>
              </w:rPr>
            </w:pPr>
            <w:r w:rsidRPr="00D92385">
              <w:rPr>
                <w:color w:val="auto"/>
                <w:lang w:eastAsia="en-US"/>
              </w:rPr>
              <w:t xml:space="preserve">Lead engagement forums with iwi/Māori </w:t>
            </w:r>
            <w:r w:rsidR="003C14BF" w:rsidRPr="00D92385">
              <w:rPr>
                <w:color w:val="auto"/>
                <w:lang w:eastAsia="en-US"/>
              </w:rPr>
              <w:t xml:space="preserve">partners and </w:t>
            </w:r>
            <w:r w:rsidRPr="00D92385">
              <w:rPr>
                <w:color w:val="auto"/>
                <w:lang w:eastAsia="en-US"/>
              </w:rPr>
              <w:t xml:space="preserve">stakeholders.  </w:t>
            </w:r>
          </w:p>
          <w:p w14:paraId="7C774BA0" w14:textId="77777777" w:rsidR="002E3FC4" w:rsidRPr="00D92385" w:rsidRDefault="008B0D12" w:rsidP="002E3FC4">
            <w:pPr>
              <w:pStyle w:val="Default"/>
              <w:numPr>
                <w:ilvl w:val="0"/>
                <w:numId w:val="37"/>
              </w:numPr>
              <w:spacing w:after="57"/>
              <w:rPr>
                <w:color w:val="auto"/>
                <w:lang w:eastAsia="en-US"/>
              </w:rPr>
            </w:pPr>
            <w:r w:rsidRPr="00D92385">
              <w:rPr>
                <w:color w:val="auto"/>
                <w:lang w:eastAsia="en-US"/>
              </w:rPr>
              <w:t xml:space="preserve">Motivate, enable and engage </w:t>
            </w:r>
            <w:r w:rsidR="002E3FC4" w:rsidRPr="00D92385">
              <w:rPr>
                <w:color w:val="auto"/>
                <w:lang w:eastAsia="en-US"/>
              </w:rPr>
              <w:t>with the programme team</w:t>
            </w:r>
            <w:r w:rsidRPr="00D92385">
              <w:rPr>
                <w:color w:val="auto"/>
                <w:lang w:eastAsia="en-US"/>
              </w:rPr>
              <w:t xml:space="preserve"> to achieve </w:t>
            </w:r>
            <w:r w:rsidR="002E3FC4" w:rsidRPr="00D92385">
              <w:rPr>
                <w:color w:val="auto"/>
                <w:lang w:eastAsia="en-US"/>
              </w:rPr>
              <w:t>r</w:t>
            </w:r>
            <w:r w:rsidRPr="00D92385">
              <w:rPr>
                <w:color w:val="auto"/>
                <w:lang w:eastAsia="en-US"/>
              </w:rPr>
              <w:t>esults</w:t>
            </w:r>
          </w:p>
          <w:p w14:paraId="079D22B4" w14:textId="77777777" w:rsidR="008B0D12" w:rsidRPr="00D92385" w:rsidRDefault="002E3FC4" w:rsidP="002C37EA">
            <w:pPr>
              <w:pStyle w:val="Default"/>
              <w:numPr>
                <w:ilvl w:val="0"/>
                <w:numId w:val="37"/>
              </w:numPr>
              <w:spacing w:after="57"/>
              <w:rPr>
                <w:color w:val="auto"/>
                <w:lang w:eastAsia="en-US"/>
              </w:rPr>
            </w:pPr>
            <w:r w:rsidRPr="00D92385">
              <w:rPr>
                <w:color w:val="auto"/>
                <w:lang w:eastAsia="en-US"/>
              </w:rPr>
              <w:t xml:space="preserve">Work closely with other </w:t>
            </w:r>
            <w:r w:rsidR="003C14BF" w:rsidRPr="00D92385">
              <w:rPr>
                <w:color w:val="auto"/>
                <w:lang w:eastAsia="en-US"/>
              </w:rPr>
              <w:t xml:space="preserve">partners and </w:t>
            </w:r>
            <w:r w:rsidRPr="00D92385">
              <w:rPr>
                <w:color w:val="auto"/>
                <w:lang w:eastAsia="en-US"/>
              </w:rPr>
              <w:t>National Library staff in relevant areas</w:t>
            </w:r>
            <w:r w:rsidR="008B0D12" w:rsidRPr="00D92385">
              <w:rPr>
                <w:color w:val="auto"/>
                <w:lang w:eastAsia="en-US"/>
              </w:rPr>
              <w:t xml:space="preserve"> </w:t>
            </w:r>
          </w:p>
          <w:p w14:paraId="32490452" w14:textId="77777777" w:rsidR="003D175D" w:rsidRPr="00D92385" w:rsidRDefault="002E3FC4" w:rsidP="00D92385">
            <w:pPr>
              <w:pStyle w:val="Default"/>
              <w:numPr>
                <w:ilvl w:val="0"/>
                <w:numId w:val="37"/>
              </w:numPr>
              <w:rPr>
                <w:color w:val="auto"/>
                <w:lang w:eastAsia="en-US"/>
              </w:rPr>
            </w:pPr>
            <w:r w:rsidRPr="00D92385">
              <w:rPr>
                <w:color w:val="auto"/>
                <w:lang w:eastAsia="en-US"/>
              </w:rPr>
              <w:lastRenderedPageBreak/>
              <w:t>S</w:t>
            </w:r>
            <w:r w:rsidR="008B0D12" w:rsidRPr="00D92385">
              <w:rPr>
                <w:color w:val="auto"/>
                <w:lang w:eastAsia="en-US"/>
              </w:rPr>
              <w:t>upport a team culture that is focused</w:t>
            </w:r>
            <w:r w:rsidR="004C4278" w:rsidRPr="00D92385">
              <w:rPr>
                <w:color w:val="auto"/>
                <w:lang w:eastAsia="en-US"/>
              </w:rPr>
              <w:t xml:space="preserve"> </w:t>
            </w:r>
            <w:r w:rsidR="008B0D12" w:rsidRPr="00D92385">
              <w:rPr>
                <w:color w:val="auto"/>
                <w:lang w:eastAsia="en-US"/>
              </w:rPr>
              <w:t>on ‘getting things</w:t>
            </w:r>
            <w:r w:rsidR="004C4278" w:rsidRPr="00D92385">
              <w:rPr>
                <w:color w:val="auto"/>
                <w:lang w:eastAsia="en-US"/>
              </w:rPr>
              <w:t xml:space="preserve"> </w:t>
            </w:r>
            <w:r w:rsidR="008B0D12" w:rsidRPr="00D92385">
              <w:rPr>
                <w:color w:val="auto"/>
                <w:lang w:eastAsia="en-US"/>
              </w:rPr>
              <w:t>done’ together, proactive and</w:t>
            </w:r>
            <w:r w:rsidR="004C4278" w:rsidRPr="00D92385">
              <w:rPr>
                <w:color w:val="auto"/>
                <w:lang w:eastAsia="en-US"/>
              </w:rPr>
              <w:t xml:space="preserve"> </w:t>
            </w:r>
            <w:r w:rsidR="008B0D12" w:rsidRPr="00D92385">
              <w:rPr>
                <w:color w:val="auto"/>
                <w:lang w:eastAsia="en-US"/>
              </w:rPr>
              <w:t xml:space="preserve">consistent with the values of the </w:t>
            </w:r>
            <w:r w:rsidR="002E563A" w:rsidRPr="00D92385">
              <w:rPr>
                <w:color w:val="auto"/>
                <w:lang w:eastAsia="en-US"/>
              </w:rPr>
              <w:t>Library Partnership P</w:t>
            </w:r>
            <w:r w:rsidR="008B0D12" w:rsidRPr="00D92385">
              <w:rPr>
                <w:color w:val="auto"/>
                <w:lang w:eastAsia="en-US"/>
              </w:rPr>
              <w:t xml:space="preserve">rogramme, inspiring </w:t>
            </w:r>
            <w:r w:rsidR="00A34F21" w:rsidRPr="00D92385">
              <w:rPr>
                <w:color w:val="auto"/>
                <w:lang w:eastAsia="en-US"/>
              </w:rPr>
              <w:t>the team</w:t>
            </w:r>
            <w:r w:rsidR="008B0D12" w:rsidRPr="00D92385">
              <w:rPr>
                <w:color w:val="auto"/>
                <w:lang w:eastAsia="en-US"/>
              </w:rPr>
              <w:t xml:space="preserve"> to deliver high level performance</w:t>
            </w:r>
          </w:p>
        </w:tc>
        <w:tc>
          <w:tcPr>
            <w:tcW w:w="3484" w:type="dxa"/>
            <w:tcBorders>
              <w:top w:val="nil"/>
              <w:left w:val="single" w:sz="6" w:space="0" w:color="1F546B" w:themeColor="text2"/>
              <w:bottom w:val="single" w:sz="6" w:space="0" w:color="1F546B" w:themeColor="text2"/>
              <w:right w:val="nil"/>
            </w:tcBorders>
          </w:tcPr>
          <w:p w14:paraId="363788B8" w14:textId="77777777" w:rsidR="002E563A" w:rsidRPr="00D92385" w:rsidRDefault="008B0D12" w:rsidP="002E563A">
            <w:pPr>
              <w:pStyle w:val="Default"/>
              <w:numPr>
                <w:ilvl w:val="0"/>
                <w:numId w:val="36"/>
              </w:numPr>
              <w:spacing w:after="57"/>
              <w:rPr>
                <w:color w:val="auto"/>
                <w:lang w:eastAsia="en-US"/>
              </w:rPr>
            </w:pPr>
            <w:r w:rsidRPr="00D92385">
              <w:rPr>
                <w:color w:val="auto"/>
                <w:lang w:eastAsia="en-US"/>
              </w:rPr>
              <w:lastRenderedPageBreak/>
              <w:t>A high performing team that delivers on/exceeds expectations</w:t>
            </w:r>
          </w:p>
          <w:p w14:paraId="0B84C6E6" w14:textId="77777777" w:rsidR="008B0D12" w:rsidRPr="00D92385" w:rsidRDefault="008B0D12" w:rsidP="002E563A">
            <w:pPr>
              <w:pStyle w:val="Default"/>
              <w:numPr>
                <w:ilvl w:val="0"/>
                <w:numId w:val="36"/>
              </w:numPr>
              <w:spacing w:after="57"/>
              <w:rPr>
                <w:color w:val="auto"/>
                <w:lang w:eastAsia="en-US"/>
              </w:rPr>
            </w:pPr>
            <w:r w:rsidRPr="00D92385">
              <w:rPr>
                <w:color w:val="auto"/>
                <w:lang w:eastAsia="en-US"/>
              </w:rPr>
              <w:t xml:space="preserve">High levels of engagement within </w:t>
            </w:r>
            <w:r w:rsidR="003C14BF" w:rsidRPr="00D92385">
              <w:rPr>
                <w:color w:val="auto"/>
                <w:lang w:eastAsia="en-US"/>
              </w:rPr>
              <w:t xml:space="preserve">our partners, </w:t>
            </w:r>
            <w:r w:rsidRPr="00D92385">
              <w:rPr>
                <w:color w:val="auto"/>
                <w:lang w:eastAsia="en-US"/>
              </w:rPr>
              <w:t xml:space="preserve">the </w:t>
            </w:r>
            <w:r w:rsidR="002E3FC4" w:rsidRPr="00D92385">
              <w:rPr>
                <w:color w:val="auto"/>
                <w:lang w:eastAsia="en-US"/>
              </w:rPr>
              <w:t>programme team and other National Library staff</w:t>
            </w:r>
          </w:p>
          <w:p w14:paraId="7FCF270A" w14:textId="77777777" w:rsidR="002E3FC4" w:rsidRPr="00D92385" w:rsidRDefault="002E3FC4" w:rsidP="002E3FC4">
            <w:pPr>
              <w:pStyle w:val="Default"/>
              <w:spacing w:after="57"/>
              <w:ind w:left="360"/>
              <w:rPr>
                <w:color w:val="auto"/>
                <w:lang w:eastAsia="en-US"/>
              </w:rPr>
            </w:pPr>
          </w:p>
          <w:p w14:paraId="4919A165" w14:textId="77777777" w:rsidR="003D175D" w:rsidRPr="00D92385" w:rsidRDefault="003D175D" w:rsidP="002E563A">
            <w:pPr>
              <w:pStyle w:val="Tablebullet"/>
              <w:numPr>
                <w:ilvl w:val="0"/>
                <w:numId w:val="0"/>
              </w:numPr>
              <w:ind w:left="357"/>
              <w:rPr>
                <w:rFonts w:cs="Calibri"/>
              </w:rPr>
            </w:pPr>
          </w:p>
        </w:tc>
      </w:tr>
      <w:tr w:rsidR="003D175D" w:rsidRPr="00D92385" w14:paraId="3A37BFCE" w14:textId="77777777" w:rsidTr="00C94EB2">
        <w:tc>
          <w:tcPr>
            <w:tcW w:w="6263" w:type="dxa"/>
            <w:tcBorders>
              <w:top w:val="nil"/>
              <w:left w:val="nil"/>
              <w:bottom w:val="single" w:sz="6" w:space="0" w:color="1F546B" w:themeColor="text2"/>
              <w:right w:val="single" w:sz="6" w:space="0" w:color="1F546B" w:themeColor="text2"/>
            </w:tcBorders>
          </w:tcPr>
          <w:p w14:paraId="0B206E8C" w14:textId="77777777" w:rsidR="003D175D" w:rsidRPr="00D92385" w:rsidRDefault="003D175D" w:rsidP="003D175D">
            <w:pPr>
              <w:pStyle w:val="Tablenormal0"/>
              <w:rPr>
                <w:rFonts w:cs="Calibri"/>
                <w:b/>
                <w:bCs/>
              </w:rPr>
            </w:pPr>
            <w:r w:rsidRPr="00D92385">
              <w:rPr>
                <w:rFonts w:cs="Calibri"/>
                <w:b/>
                <w:bCs/>
              </w:rPr>
              <w:t>Health and safety (for self)</w:t>
            </w:r>
          </w:p>
          <w:p w14:paraId="763DB21E" w14:textId="77777777" w:rsidR="00781B26" w:rsidRPr="00781B26" w:rsidRDefault="00596858" w:rsidP="00781B26">
            <w:pPr>
              <w:pStyle w:val="Default"/>
              <w:numPr>
                <w:ilvl w:val="0"/>
                <w:numId w:val="36"/>
              </w:numPr>
              <w:spacing w:after="57"/>
              <w:ind w:left="768" w:hanging="426"/>
              <w:rPr>
                <w:color w:val="auto"/>
                <w:lang w:eastAsia="en-US"/>
              </w:rPr>
            </w:pPr>
            <w:r w:rsidRPr="00781B26">
              <w:t xml:space="preserve">Work safely and take responsibility for </w:t>
            </w:r>
            <w:proofErr w:type="gramStart"/>
            <w:r w:rsidRPr="00781B26">
              <w:t xml:space="preserve">keeping </w:t>
            </w:r>
            <w:r w:rsidR="00781B26">
              <w:t xml:space="preserve"> </w:t>
            </w:r>
            <w:r w:rsidRPr="00781B26">
              <w:t>self</w:t>
            </w:r>
            <w:proofErr w:type="gramEnd"/>
            <w:r w:rsidRPr="00781B26">
              <w:t xml:space="preserve"> and colleagues free from harm</w:t>
            </w:r>
          </w:p>
          <w:p w14:paraId="37E7311E" w14:textId="77777777" w:rsidR="00781B26" w:rsidRPr="00781B26" w:rsidRDefault="00596858" w:rsidP="00781B26">
            <w:pPr>
              <w:pStyle w:val="Default"/>
              <w:numPr>
                <w:ilvl w:val="0"/>
                <w:numId w:val="36"/>
              </w:numPr>
              <w:spacing w:after="57"/>
              <w:ind w:left="768" w:hanging="426"/>
              <w:rPr>
                <w:color w:val="auto"/>
                <w:lang w:eastAsia="en-US"/>
              </w:rPr>
            </w:pPr>
            <w:r w:rsidRPr="00781B26">
              <w:t>Report all incidents and hazards promptly</w:t>
            </w:r>
          </w:p>
          <w:p w14:paraId="3B542E6E" w14:textId="77777777" w:rsidR="00781B26" w:rsidRPr="00781B26" w:rsidRDefault="00596858" w:rsidP="00781B26">
            <w:pPr>
              <w:pStyle w:val="Default"/>
              <w:numPr>
                <w:ilvl w:val="0"/>
                <w:numId w:val="36"/>
              </w:numPr>
              <w:spacing w:after="57"/>
              <w:ind w:left="768" w:hanging="426"/>
              <w:rPr>
                <w:color w:val="auto"/>
                <w:lang w:eastAsia="en-US"/>
              </w:rPr>
            </w:pPr>
            <w:r w:rsidRPr="00781B26">
              <w:t>Know what to do in the event of an emergency</w:t>
            </w:r>
          </w:p>
          <w:p w14:paraId="27860655" w14:textId="77777777" w:rsidR="003D175D" w:rsidRPr="00781B26" w:rsidRDefault="00596858" w:rsidP="00781B26">
            <w:pPr>
              <w:pStyle w:val="Default"/>
              <w:numPr>
                <w:ilvl w:val="0"/>
                <w:numId w:val="36"/>
              </w:numPr>
              <w:spacing w:after="57"/>
              <w:ind w:left="768" w:hanging="426"/>
              <w:rPr>
                <w:color w:val="auto"/>
                <w:lang w:eastAsia="en-US"/>
              </w:rPr>
            </w:pPr>
            <w:r w:rsidRPr="00781B26">
              <w:t>Cooperate in implementing return to work plans</w:t>
            </w:r>
          </w:p>
        </w:tc>
        <w:tc>
          <w:tcPr>
            <w:tcW w:w="3484" w:type="dxa"/>
            <w:tcBorders>
              <w:top w:val="nil"/>
              <w:left w:val="single" w:sz="6" w:space="0" w:color="1F546B" w:themeColor="text2"/>
              <w:bottom w:val="single" w:sz="6" w:space="0" w:color="1F546B" w:themeColor="text2"/>
              <w:right w:val="nil"/>
            </w:tcBorders>
          </w:tcPr>
          <w:p w14:paraId="5BADB295" w14:textId="77777777" w:rsidR="00410084" w:rsidRPr="00D92385" w:rsidRDefault="00410084" w:rsidP="002E3FC4">
            <w:pPr>
              <w:pStyle w:val="Default"/>
              <w:numPr>
                <w:ilvl w:val="0"/>
                <w:numId w:val="36"/>
              </w:numPr>
              <w:spacing w:after="57"/>
              <w:rPr>
                <w:color w:val="auto"/>
                <w:lang w:eastAsia="en-US"/>
              </w:rPr>
            </w:pPr>
            <w:r w:rsidRPr="00D92385">
              <w:rPr>
                <w:color w:val="auto"/>
                <w:lang w:eastAsia="en-US"/>
              </w:rPr>
              <w:t>A safe and healthy workplace for all people using our sites as a place of work.</w:t>
            </w:r>
          </w:p>
          <w:p w14:paraId="31A8F7D0" w14:textId="77777777" w:rsidR="003D175D" w:rsidRPr="00D92385" w:rsidRDefault="00410084" w:rsidP="002E3FC4">
            <w:pPr>
              <w:pStyle w:val="Default"/>
              <w:numPr>
                <w:ilvl w:val="0"/>
                <w:numId w:val="36"/>
              </w:numPr>
              <w:spacing w:after="57"/>
            </w:pPr>
            <w:r w:rsidRPr="00D92385">
              <w:rPr>
                <w:color w:val="auto"/>
                <w:lang w:eastAsia="en-US"/>
              </w:rPr>
              <w:t>Health and safety guidelines are followed</w:t>
            </w:r>
          </w:p>
        </w:tc>
      </w:tr>
    </w:tbl>
    <w:p w14:paraId="07C60221" w14:textId="77777777" w:rsidR="00285621" w:rsidRPr="00D92385" w:rsidRDefault="00285621" w:rsidP="00285621">
      <w:pPr>
        <w:pStyle w:val="Tinyline"/>
        <w:rPr>
          <w:rFonts w:cs="Calibri"/>
          <w:sz w:val="24"/>
        </w:rPr>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D92385" w14:paraId="4DB03208" w14:textId="77777777" w:rsidTr="001D30D4">
        <w:trPr>
          <w:trHeight w:val="737"/>
          <w:tblHeader/>
        </w:trPr>
        <w:tc>
          <w:tcPr>
            <w:tcW w:w="5842" w:type="dxa"/>
            <w:gridSpan w:val="2"/>
            <w:tcBorders>
              <w:bottom w:val="single" w:sz="6" w:space="0" w:color="1F546B" w:themeColor="text2"/>
            </w:tcBorders>
          </w:tcPr>
          <w:p w14:paraId="524C599E" w14:textId="77777777" w:rsidR="006B2693" w:rsidRPr="00D92385" w:rsidRDefault="006B2693" w:rsidP="00267EDC">
            <w:pPr>
              <w:rPr>
                <w:rFonts w:cs="Calibri"/>
              </w:rPr>
            </w:pPr>
          </w:p>
        </w:tc>
        <w:tc>
          <w:tcPr>
            <w:tcW w:w="651" w:type="dxa"/>
            <w:vMerge w:val="restart"/>
            <w:tcBorders>
              <w:bottom w:val="single" w:sz="6" w:space="0" w:color="1F546B" w:themeColor="text2"/>
            </w:tcBorders>
            <w:textDirection w:val="btLr"/>
            <w:vAlign w:val="center"/>
          </w:tcPr>
          <w:p w14:paraId="5616F3FD" w14:textId="77777777" w:rsidR="006B2693" w:rsidRPr="00D92385" w:rsidRDefault="006B2693" w:rsidP="00267EDC">
            <w:pPr>
              <w:pStyle w:val="Tableverticaltext"/>
              <w:rPr>
                <w:rFonts w:cs="Calibri"/>
                <w:sz w:val="24"/>
                <w:szCs w:val="24"/>
              </w:rPr>
            </w:pPr>
            <w:r w:rsidRPr="00D92385">
              <w:rPr>
                <w:rFonts w:cs="Calibri"/>
                <w:sz w:val="24"/>
                <w:szCs w:val="24"/>
              </w:rPr>
              <w:t>Advise</w:t>
            </w:r>
          </w:p>
        </w:tc>
        <w:tc>
          <w:tcPr>
            <w:tcW w:w="652" w:type="dxa"/>
            <w:vMerge w:val="restart"/>
            <w:tcBorders>
              <w:bottom w:val="single" w:sz="6" w:space="0" w:color="1F546B" w:themeColor="text2"/>
            </w:tcBorders>
            <w:textDirection w:val="btLr"/>
            <w:vAlign w:val="center"/>
          </w:tcPr>
          <w:p w14:paraId="499B18D6" w14:textId="77777777" w:rsidR="006B2693" w:rsidRPr="00D92385" w:rsidRDefault="006B2693" w:rsidP="00267EDC">
            <w:pPr>
              <w:pStyle w:val="Tableverticaltext"/>
              <w:rPr>
                <w:rFonts w:cs="Calibri"/>
                <w:sz w:val="24"/>
                <w:szCs w:val="24"/>
              </w:rPr>
            </w:pPr>
            <w:r w:rsidRPr="00D92385">
              <w:rPr>
                <w:rFonts w:cs="Calibri"/>
                <w:sz w:val="24"/>
                <w:szCs w:val="24"/>
              </w:rPr>
              <w:t>Collaborate with</w:t>
            </w:r>
          </w:p>
        </w:tc>
        <w:tc>
          <w:tcPr>
            <w:tcW w:w="652" w:type="dxa"/>
            <w:vMerge w:val="restart"/>
            <w:tcBorders>
              <w:bottom w:val="single" w:sz="6" w:space="0" w:color="1F546B" w:themeColor="text2"/>
            </w:tcBorders>
            <w:textDirection w:val="btLr"/>
            <w:vAlign w:val="center"/>
          </w:tcPr>
          <w:p w14:paraId="5E14A11B" w14:textId="77777777" w:rsidR="006B2693" w:rsidRPr="00D92385" w:rsidRDefault="006B2693" w:rsidP="00267EDC">
            <w:pPr>
              <w:pStyle w:val="Tableverticaltext"/>
              <w:rPr>
                <w:rFonts w:cs="Calibri"/>
                <w:sz w:val="24"/>
                <w:szCs w:val="24"/>
              </w:rPr>
            </w:pPr>
            <w:r w:rsidRPr="00D92385">
              <w:rPr>
                <w:rFonts w:cs="Calibri"/>
                <w:sz w:val="24"/>
                <w:szCs w:val="24"/>
              </w:rPr>
              <w:t>Influence</w:t>
            </w:r>
          </w:p>
        </w:tc>
        <w:tc>
          <w:tcPr>
            <w:tcW w:w="651" w:type="dxa"/>
            <w:vMerge w:val="restart"/>
            <w:tcBorders>
              <w:bottom w:val="single" w:sz="6" w:space="0" w:color="1F546B" w:themeColor="text2"/>
            </w:tcBorders>
            <w:textDirection w:val="btLr"/>
            <w:vAlign w:val="center"/>
          </w:tcPr>
          <w:p w14:paraId="58758111" w14:textId="77777777" w:rsidR="006B2693" w:rsidRPr="00D92385" w:rsidRDefault="006B2693" w:rsidP="00267EDC">
            <w:pPr>
              <w:pStyle w:val="Tableverticaltext"/>
              <w:rPr>
                <w:rFonts w:cs="Calibri"/>
                <w:sz w:val="24"/>
                <w:szCs w:val="24"/>
              </w:rPr>
            </w:pPr>
            <w:r w:rsidRPr="00D92385">
              <w:rPr>
                <w:rFonts w:cs="Calibri"/>
                <w:sz w:val="24"/>
                <w:szCs w:val="24"/>
              </w:rPr>
              <w:t>Inform</w:t>
            </w:r>
          </w:p>
        </w:tc>
        <w:tc>
          <w:tcPr>
            <w:tcW w:w="652" w:type="dxa"/>
            <w:vMerge w:val="restart"/>
            <w:tcBorders>
              <w:bottom w:val="single" w:sz="6" w:space="0" w:color="1F546B" w:themeColor="text2"/>
            </w:tcBorders>
            <w:textDirection w:val="btLr"/>
            <w:vAlign w:val="center"/>
          </w:tcPr>
          <w:p w14:paraId="2EE55779" w14:textId="77777777" w:rsidR="006B2693" w:rsidRPr="00D92385" w:rsidRDefault="006B2693" w:rsidP="00267EDC">
            <w:pPr>
              <w:pStyle w:val="Tableverticaltext"/>
              <w:rPr>
                <w:rFonts w:cs="Calibri"/>
                <w:sz w:val="24"/>
                <w:szCs w:val="24"/>
              </w:rPr>
            </w:pPr>
            <w:r w:rsidRPr="00D92385">
              <w:rPr>
                <w:rFonts w:cs="Calibri"/>
                <w:sz w:val="24"/>
                <w:szCs w:val="24"/>
              </w:rPr>
              <w:t>Manage/</w:t>
            </w:r>
          </w:p>
          <w:p w14:paraId="2F597ED2" w14:textId="77777777" w:rsidR="006B2693" w:rsidRPr="00D92385" w:rsidRDefault="006B2693" w:rsidP="00267EDC">
            <w:pPr>
              <w:pStyle w:val="Tableverticaltext"/>
              <w:rPr>
                <w:rFonts w:cs="Calibri"/>
                <w:sz w:val="24"/>
                <w:szCs w:val="24"/>
              </w:rPr>
            </w:pPr>
            <w:r w:rsidRPr="00D92385">
              <w:rPr>
                <w:rFonts w:cs="Calibri"/>
                <w:sz w:val="24"/>
                <w:szCs w:val="24"/>
              </w:rPr>
              <w:t>lead</w:t>
            </w:r>
          </w:p>
        </w:tc>
        <w:tc>
          <w:tcPr>
            <w:tcW w:w="652" w:type="dxa"/>
            <w:vMerge w:val="restart"/>
            <w:tcBorders>
              <w:bottom w:val="single" w:sz="6" w:space="0" w:color="1F546B" w:themeColor="text2"/>
            </w:tcBorders>
            <w:textDirection w:val="btLr"/>
            <w:vAlign w:val="center"/>
          </w:tcPr>
          <w:p w14:paraId="17630B2B" w14:textId="77777777" w:rsidR="006B2693" w:rsidRPr="00D92385" w:rsidRDefault="006B2693" w:rsidP="00267EDC">
            <w:pPr>
              <w:pStyle w:val="Tableverticaltext"/>
              <w:rPr>
                <w:rFonts w:cs="Calibri"/>
                <w:sz w:val="24"/>
                <w:szCs w:val="24"/>
              </w:rPr>
            </w:pPr>
            <w:r w:rsidRPr="00D92385">
              <w:rPr>
                <w:rFonts w:cs="Calibri"/>
                <w:sz w:val="24"/>
                <w:szCs w:val="24"/>
              </w:rPr>
              <w:t>Deliver to</w:t>
            </w:r>
          </w:p>
        </w:tc>
      </w:tr>
      <w:tr w:rsidR="006B2693" w:rsidRPr="00D92385" w14:paraId="77DCC985"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7B7C4CB2" w14:textId="77777777" w:rsidR="006B2693" w:rsidRPr="00D92385" w:rsidRDefault="006B2693" w:rsidP="00267EDC">
            <w:pPr>
              <w:pStyle w:val="Tableheading"/>
              <w:rPr>
                <w:rFonts w:cs="Calibri"/>
                <w:sz w:val="24"/>
              </w:rPr>
            </w:pPr>
            <w:r w:rsidRPr="00D92385">
              <w:rPr>
                <w:rFonts w:cs="Calibri"/>
                <w:sz w:val="24"/>
              </w:rP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A97492A" w14:textId="77777777" w:rsidR="006B2693" w:rsidRPr="00D92385" w:rsidRDefault="006B2693" w:rsidP="00267EDC">
            <w:pPr>
              <w:rPr>
                <w:rFonts w:cs="Calibri"/>
              </w:rPr>
            </w:pPr>
          </w:p>
        </w:tc>
        <w:tc>
          <w:tcPr>
            <w:tcW w:w="652" w:type="dxa"/>
            <w:vMerge/>
            <w:tcBorders>
              <w:bottom w:val="single" w:sz="6" w:space="0" w:color="1F546B" w:themeColor="text2"/>
            </w:tcBorders>
            <w:textDirection w:val="btLr"/>
          </w:tcPr>
          <w:p w14:paraId="48DEBDE1" w14:textId="77777777" w:rsidR="006B2693" w:rsidRPr="00D92385" w:rsidRDefault="006B2693" w:rsidP="00267EDC">
            <w:pPr>
              <w:rPr>
                <w:rFonts w:cs="Calibri"/>
              </w:rPr>
            </w:pPr>
          </w:p>
        </w:tc>
        <w:tc>
          <w:tcPr>
            <w:tcW w:w="652" w:type="dxa"/>
            <w:vMerge/>
            <w:tcBorders>
              <w:bottom w:val="single" w:sz="6" w:space="0" w:color="1F546B" w:themeColor="text2"/>
            </w:tcBorders>
            <w:textDirection w:val="btLr"/>
          </w:tcPr>
          <w:p w14:paraId="2427309D" w14:textId="77777777" w:rsidR="006B2693" w:rsidRPr="00D92385" w:rsidRDefault="006B2693" w:rsidP="00267EDC">
            <w:pPr>
              <w:rPr>
                <w:rFonts w:cs="Calibri"/>
              </w:rPr>
            </w:pPr>
          </w:p>
        </w:tc>
        <w:tc>
          <w:tcPr>
            <w:tcW w:w="651" w:type="dxa"/>
            <w:vMerge/>
            <w:tcBorders>
              <w:bottom w:val="single" w:sz="6" w:space="0" w:color="1F546B" w:themeColor="text2"/>
            </w:tcBorders>
            <w:textDirection w:val="btLr"/>
          </w:tcPr>
          <w:p w14:paraId="0E80C2A4" w14:textId="77777777" w:rsidR="006B2693" w:rsidRPr="00D92385" w:rsidRDefault="006B2693" w:rsidP="00267EDC">
            <w:pPr>
              <w:rPr>
                <w:rFonts w:cs="Calibri"/>
              </w:rPr>
            </w:pPr>
          </w:p>
        </w:tc>
        <w:tc>
          <w:tcPr>
            <w:tcW w:w="652" w:type="dxa"/>
            <w:vMerge/>
            <w:tcBorders>
              <w:bottom w:val="single" w:sz="6" w:space="0" w:color="1F546B" w:themeColor="text2"/>
            </w:tcBorders>
            <w:textDirection w:val="btLr"/>
          </w:tcPr>
          <w:p w14:paraId="7CB7CB9E" w14:textId="77777777" w:rsidR="006B2693" w:rsidRPr="00D92385" w:rsidRDefault="006B2693" w:rsidP="00267EDC">
            <w:pPr>
              <w:rPr>
                <w:rFonts w:cs="Calibri"/>
              </w:rPr>
            </w:pPr>
          </w:p>
        </w:tc>
        <w:tc>
          <w:tcPr>
            <w:tcW w:w="652" w:type="dxa"/>
            <w:vMerge/>
            <w:tcBorders>
              <w:top w:val="single" w:sz="6" w:space="0" w:color="1F546B" w:themeColor="text2"/>
              <w:bottom w:val="single" w:sz="6" w:space="0" w:color="1F546B" w:themeColor="text2"/>
            </w:tcBorders>
            <w:textDirection w:val="btLr"/>
          </w:tcPr>
          <w:p w14:paraId="320B5586" w14:textId="77777777" w:rsidR="006B2693" w:rsidRPr="00D92385" w:rsidRDefault="006B2693" w:rsidP="00267EDC">
            <w:pPr>
              <w:rPr>
                <w:rFonts w:cs="Calibri"/>
              </w:rPr>
            </w:pPr>
          </w:p>
        </w:tc>
      </w:tr>
      <w:tr w:rsidR="000966C6" w:rsidRPr="00D92385" w14:paraId="2728EEDD" w14:textId="77777777" w:rsidTr="00114D8F">
        <w:trPr>
          <w:trHeight w:val="345"/>
        </w:trPr>
        <w:tc>
          <w:tcPr>
            <w:tcW w:w="1134" w:type="dxa"/>
            <w:vMerge w:val="restart"/>
            <w:tcBorders>
              <w:top w:val="single" w:sz="6" w:space="0" w:color="1F546B" w:themeColor="text2"/>
              <w:right w:val="single" w:sz="6" w:space="0" w:color="1F546B" w:themeColor="text2"/>
            </w:tcBorders>
            <w:vAlign w:val="center"/>
          </w:tcPr>
          <w:p w14:paraId="6C2BFD55" w14:textId="77777777" w:rsidR="000966C6" w:rsidRPr="00D92385" w:rsidRDefault="000966C6" w:rsidP="001D30D4">
            <w:pPr>
              <w:pStyle w:val="Tablenormalcondensed"/>
              <w:rPr>
                <w:rFonts w:cs="Calibri"/>
              </w:rPr>
            </w:pPr>
            <w:r w:rsidRPr="00D92385">
              <w:rPr>
                <w:rFonts w:cs="Calibri"/>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EA29632" w14:textId="77777777" w:rsidR="000966C6" w:rsidRPr="00D92385" w:rsidRDefault="000966C6" w:rsidP="003D175D">
            <w:pPr>
              <w:pStyle w:val="Tablenormalcondensed"/>
              <w:rPr>
                <w:rFonts w:cs="Calibri"/>
              </w:rPr>
            </w:pPr>
            <w:r w:rsidRPr="00D92385">
              <w:rPr>
                <w:rFonts w:cs="Calibri"/>
              </w:rPr>
              <w:t>NZLPP Programme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E68E0CA"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84A37D"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80C0DD" w14:textId="77777777" w:rsidR="000966C6" w:rsidRPr="00D92385" w:rsidRDefault="000966C6" w:rsidP="001D30D4">
            <w:pPr>
              <w:pStyle w:val="Tablenormalcondensed"/>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739895"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6B14BBD" w14:textId="77777777" w:rsidR="000966C6" w:rsidRPr="00D92385" w:rsidRDefault="000966C6"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AB39A09" w14:textId="77777777" w:rsidR="000966C6" w:rsidRPr="00D92385" w:rsidRDefault="000966C6" w:rsidP="001D30D4">
            <w:pPr>
              <w:pStyle w:val="Tablenormalcondensed"/>
              <w:rPr>
                <w:rFonts w:cs="Calibri"/>
              </w:rPr>
            </w:pPr>
            <w:r w:rsidRPr="00D92385">
              <w:rPr>
                <w:rFonts w:cs="Calibri"/>
              </w:rPr>
              <w:sym w:font="Wingdings" w:char="F0FC"/>
            </w:r>
          </w:p>
        </w:tc>
      </w:tr>
      <w:tr w:rsidR="00A47564" w:rsidRPr="00D92385" w14:paraId="7AD3CB26" w14:textId="77777777" w:rsidTr="00114D8F">
        <w:trPr>
          <w:trHeight w:val="345"/>
        </w:trPr>
        <w:tc>
          <w:tcPr>
            <w:tcW w:w="1134" w:type="dxa"/>
            <w:vMerge/>
            <w:tcBorders>
              <w:top w:val="single" w:sz="6" w:space="0" w:color="1F546B" w:themeColor="text2"/>
              <w:right w:val="single" w:sz="6" w:space="0" w:color="1F546B" w:themeColor="text2"/>
            </w:tcBorders>
            <w:vAlign w:val="center"/>
          </w:tcPr>
          <w:p w14:paraId="68605279" w14:textId="77777777" w:rsidR="00A47564" w:rsidRPr="00D92385" w:rsidRDefault="00A47564" w:rsidP="001D30D4">
            <w:pPr>
              <w:pStyle w:val="Tablenormalcondensed"/>
              <w:rPr>
                <w:rFonts w:cs="Calibri"/>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248E304" w14:textId="77777777" w:rsidR="00A47564" w:rsidRPr="00D92385" w:rsidRDefault="00A34F21" w:rsidP="003D175D">
            <w:pPr>
              <w:pStyle w:val="Tablenormalcondensed"/>
              <w:rPr>
                <w:rFonts w:cs="Calibri"/>
              </w:rPr>
            </w:pPr>
            <w:r w:rsidRPr="00781B26">
              <w:rPr>
                <w:rFonts w:cs="Calibri"/>
              </w:rPr>
              <w:t>Māori Strategy &amp; Relationships</w:t>
            </w:r>
            <w:r w:rsidR="00C664A8" w:rsidRPr="00781B26">
              <w:rPr>
                <w:rFonts w:cs="Calibri"/>
              </w:rPr>
              <w:t xml:space="preserve"> Group</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13A0258" w14:textId="77777777" w:rsidR="00A47564" w:rsidRPr="00D92385" w:rsidRDefault="00A47564"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978C768" w14:textId="77777777" w:rsidR="00A47564" w:rsidRPr="00D92385" w:rsidRDefault="00E25159"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986A7A9" w14:textId="77777777" w:rsidR="00A47564" w:rsidRPr="00D92385" w:rsidRDefault="00A47564" w:rsidP="001D30D4">
            <w:pPr>
              <w:pStyle w:val="Tablenormalcondensed"/>
              <w:rPr>
                <w:rFonts w:cs="Calibri"/>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DAF827" w14:textId="77777777" w:rsidR="00A47564" w:rsidRPr="00D92385" w:rsidRDefault="00E25159"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46ED061" w14:textId="77777777" w:rsidR="00A47564" w:rsidRPr="00D92385" w:rsidRDefault="00A47564"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A3CD568" w14:textId="77777777" w:rsidR="00A47564" w:rsidRPr="00D92385" w:rsidRDefault="00A47564" w:rsidP="001D30D4">
            <w:pPr>
              <w:pStyle w:val="Tablenormalcondensed"/>
              <w:rPr>
                <w:rFonts w:cs="Calibri"/>
              </w:rPr>
            </w:pPr>
          </w:p>
        </w:tc>
      </w:tr>
      <w:tr w:rsidR="000966C6" w:rsidRPr="00D92385" w14:paraId="58799903" w14:textId="77777777" w:rsidTr="00114D8F">
        <w:trPr>
          <w:trHeight w:val="345"/>
        </w:trPr>
        <w:tc>
          <w:tcPr>
            <w:tcW w:w="1134" w:type="dxa"/>
            <w:vMerge/>
            <w:tcBorders>
              <w:right w:val="single" w:sz="6" w:space="0" w:color="1F546B" w:themeColor="text2"/>
            </w:tcBorders>
            <w:vAlign w:val="center"/>
          </w:tcPr>
          <w:p w14:paraId="2A255EE0" w14:textId="77777777" w:rsidR="000966C6" w:rsidRPr="00D92385" w:rsidRDefault="000966C6" w:rsidP="001D30D4">
            <w:pPr>
              <w:pStyle w:val="Tablenormalcondensed"/>
              <w:rPr>
                <w:rFonts w:cs="Calibri"/>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6B58AC4" w14:textId="77777777" w:rsidR="000966C6" w:rsidRPr="00B008BB" w:rsidRDefault="000966C6" w:rsidP="001D30D4">
            <w:pPr>
              <w:pStyle w:val="Tablenormalcondensed"/>
              <w:rPr>
                <w:rFonts w:cs="Calibri"/>
                <w:highlight w:val="yellow"/>
              </w:rPr>
            </w:pPr>
            <w:r w:rsidRPr="00B008BB">
              <w:rPr>
                <w:rFonts w:cs="Calibri"/>
              </w:rPr>
              <w:t>National Library staff</w:t>
            </w:r>
            <w:r w:rsidR="00A47564" w:rsidRPr="00B008BB">
              <w:rPr>
                <w:rFonts w:cs="Calibri"/>
              </w:rPr>
              <w:t xml:space="preserve">, including </w:t>
            </w:r>
            <w:r w:rsidR="00A34F21" w:rsidRPr="00B008BB">
              <w:rPr>
                <w:rFonts w:cs="Calibri"/>
              </w:rPr>
              <w:t xml:space="preserve">those within the DIA Māori </w:t>
            </w:r>
            <w:r w:rsidR="00A47564" w:rsidRPr="00B008BB">
              <w:rPr>
                <w:rFonts w:cs="Calibri"/>
              </w:rPr>
              <w:t xml:space="preserve">network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9987C7"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5FA9975"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DE183D" w14:textId="77777777" w:rsidR="000966C6" w:rsidRPr="00D92385" w:rsidRDefault="000966C6" w:rsidP="001D30D4">
            <w:pPr>
              <w:pStyle w:val="Tablenormalcondensed"/>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54A404"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2250EB5" w14:textId="77777777" w:rsidR="000966C6" w:rsidRPr="00D92385" w:rsidRDefault="000966C6"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2B22D1E" w14:textId="77777777" w:rsidR="000966C6" w:rsidRPr="00D92385" w:rsidRDefault="000966C6" w:rsidP="001D30D4">
            <w:pPr>
              <w:pStyle w:val="Tablenormalcondensed"/>
              <w:rPr>
                <w:rFonts w:cs="Calibri"/>
              </w:rPr>
            </w:pPr>
          </w:p>
        </w:tc>
      </w:tr>
      <w:tr w:rsidR="000966C6" w:rsidRPr="00D92385" w14:paraId="6FA180D0" w14:textId="77777777" w:rsidTr="00114D8F">
        <w:trPr>
          <w:trHeight w:val="345"/>
        </w:trPr>
        <w:tc>
          <w:tcPr>
            <w:tcW w:w="1134" w:type="dxa"/>
            <w:vMerge/>
            <w:tcBorders>
              <w:bottom w:val="single" w:sz="6" w:space="0" w:color="1F546B" w:themeColor="text2"/>
              <w:right w:val="single" w:sz="6" w:space="0" w:color="1F546B" w:themeColor="text2"/>
            </w:tcBorders>
            <w:vAlign w:val="center"/>
          </w:tcPr>
          <w:p w14:paraId="4BEFDC02" w14:textId="77777777" w:rsidR="000966C6" w:rsidRPr="00D92385" w:rsidRDefault="000966C6" w:rsidP="002E3FC4">
            <w:pPr>
              <w:pStyle w:val="Tablenormalcondensed"/>
              <w:rPr>
                <w:rFonts w:cs="Calibri"/>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BD82359" w14:textId="77777777" w:rsidR="000966C6" w:rsidRPr="00B008BB" w:rsidRDefault="000966C6" w:rsidP="002E3FC4">
            <w:pPr>
              <w:pStyle w:val="Tablenormalcondensed"/>
              <w:rPr>
                <w:rFonts w:cs="Calibri"/>
              </w:rPr>
            </w:pPr>
            <w:r w:rsidRPr="00B008BB">
              <w:rPr>
                <w:rFonts w:cs="Calibri"/>
              </w:rPr>
              <w:t>Programme Assurance Group</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DD0F961" w14:textId="77777777" w:rsidR="000966C6" w:rsidRPr="00D92385" w:rsidRDefault="000966C6" w:rsidP="002E3FC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4FBD53C" w14:textId="77777777" w:rsidR="000966C6" w:rsidRPr="00D92385" w:rsidRDefault="000966C6" w:rsidP="002E3FC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C300DDB" w14:textId="77777777" w:rsidR="000966C6" w:rsidRPr="00D92385" w:rsidRDefault="000966C6" w:rsidP="002E3FC4">
            <w:pPr>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A9040BA" w14:textId="77777777" w:rsidR="000966C6" w:rsidRPr="00D92385" w:rsidRDefault="000966C6" w:rsidP="002E3FC4">
            <w:pPr>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B102C4A" w14:textId="77777777" w:rsidR="000966C6" w:rsidRPr="00D92385" w:rsidRDefault="000966C6" w:rsidP="002E3FC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67FCB28" w14:textId="77777777" w:rsidR="000966C6" w:rsidRPr="00D92385" w:rsidRDefault="000966C6" w:rsidP="002E3FC4">
            <w:pPr>
              <w:pStyle w:val="Tablenormalcondensed"/>
              <w:rPr>
                <w:rFonts w:cs="Calibri"/>
              </w:rPr>
            </w:pPr>
            <w:r w:rsidRPr="00D92385">
              <w:rPr>
                <w:rFonts w:cs="Calibri"/>
              </w:rPr>
              <w:sym w:font="Wingdings" w:char="F0FC"/>
            </w:r>
          </w:p>
        </w:tc>
      </w:tr>
      <w:tr w:rsidR="000966C6" w:rsidRPr="00D92385" w14:paraId="7973884A" w14:textId="77777777" w:rsidTr="0051187E">
        <w:trPr>
          <w:trHeight w:val="233"/>
        </w:trPr>
        <w:tc>
          <w:tcPr>
            <w:tcW w:w="1134" w:type="dxa"/>
            <w:vMerge w:val="restart"/>
            <w:tcBorders>
              <w:top w:val="single" w:sz="6" w:space="0" w:color="1F546B" w:themeColor="text2"/>
              <w:right w:val="single" w:sz="6" w:space="0" w:color="1F546B" w:themeColor="text2"/>
            </w:tcBorders>
            <w:vAlign w:val="center"/>
          </w:tcPr>
          <w:p w14:paraId="21D7B01D" w14:textId="77777777" w:rsidR="000966C6" w:rsidRPr="00D92385" w:rsidRDefault="000966C6" w:rsidP="001D30D4">
            <w:pPr>
              <w:pStyle w:val="Tablenormalcondensed"/>
              <w:rPr>
                <w:rFonts w:cs="Calibri"/>
                <w:color w:val="000000" w:themeColor="text1"/>
              </w:rPr>
            </w:pPr>
            <w:r w:rsidRPr="00D92385">
              <w:rPr>
                <w:rFonts w:cs="Calibri"/>
                <w:color w:val="000000" w:themeColor="text1"/>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A8C0872" w14:textId="77777777" w:rsidR="000966C6" w:rsidRPr="00B008BB" w:rsidRDefault="000966C6" w:rsidP="001D30D4">
            <w:pPr>
              <w:pStyle w:val="Tablenormalcondensed"/>
              <w:rPr>
                <w:rFonts w:cs="Calibri"/>
              </w:rPr>
            </w:pPr>
            <w:r w:rsidRPr="00B008BB">
              <w:rPr>
                <w:rFonts w:cs="Calibri"/>
              </w:rPr>
              <w:t>Te Rōpū Whakahau</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2CFB4C" w14:textId="77777777" w:rsidR="000966C6" w:rsidRPr="00D92385" w:rsidRDefault="000966C6"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B14C14"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5C08151" w14:textId="77777777" w:rsidR="000966C6" w:rsidRPr="00D92385" w:rsidRDefault="000966C6" w:rsidP="001D30D4">
            <w:pPr>
              <w:pStyle w:val="Tablenormalcondensed"/>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52DE98E"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D6599FE" w14:textId="77777777" w:rsidR="000966C6" w:rsidRPr="00D92385" w:rsidRDefault="000966C6"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DD181F6" w14:textId="77777777" w:rsidR="000966C6" w:rsidRPr="00D92385" w:rsidRDefault="000966C6" w:rsidP="001D30D4">
            <w:pPr>
              <w:pStyle w:val="Tablenormalcondensed"/>
              <w:rPr>
                <w:rFonts w:cs="Calibri"/>
              </w:rPr>
            </w:pPr>
          </w:p>
        </w:tc>
      </w:tr>
      <w:tr w:rsidR="000966C6" w:rsidRPr="00D92385" w14:paraId="626641C7" w14:textId="77777777" w:rsidTr="0051187E">
        <w:trPr>
          <w:trHeight w:val="233"/>
        </w:trPr>
        <w:tc>
          <w:tcPr>
            <w:tcW w:w="1134" w:type="dxa"/>
            <w:vMerge/>
            <w:tcBorders>
              <w:right w:val="single" w:sz="6" w:space="0" w:color="1F546B" w:themeColor="text2"/>
            </w:tcBorders>
            <w:vAlign w:val="center"/>
          </w:tcPr>
          <w:p w14:paraId="60407B7D" w14:textId="77777777" w:rsidR="000966C6" w:rsidRPr="00D92385" w:rsidRDefault="000966C6" w:rsidP="001D30D4">
            <w:pPr>
              <w:pStyle w:val="Tablenormalcondensed"/>
              <w:rPr>
                <w:rFonts w:cs="Calibri"/>
                <w:color w:val="000000" w:themeColor="text1"/>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4CE46F3" w14:textId="77777777" w:rsidR="000966C6" w:rsidRPr="00B008BB" w:rsidRDefault="000966C6" w:rsidP="001D30D4">
            <w:pPr>
              <w:pStyle w:val="Tablenormalcondensed"/>
              <w:rPr>
                <w:rFonts w:cs="Calibri"/>
                <w:highlight w:val="yellow"/>
              </w:rPr>
            </w:pPr>
            <w:r w:rsidRPr="00B008BB">
              <w:rPr>
                <w:rFonts w:cs="Calibri"/>
              </w:rPr>
              <w:t>NZLPP Steering Group</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8849845"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D24730"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B01D826" w14:textId="77777777" w:rsidR="000966C6" w:rsidRPr="00D92385" w:rsidRDefault="000966C6" w:rsidP="001D30D4">
            <w:pPr>
              <w:pStyle w:val="Tablenormalcondensed"/>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0CE103B" w14:textId="77777777" w:rsidR="000966C6" w:rsidRPr="00D92385" w:rsidRDefault="000966C6" w:rsidP="001D30D4">
            <w:pPr>
              <w:pStyle w:val="Tablenormalcondensed"/>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518CF6" w14:textId="77777777" w:rsidR="000966C6" w:rsidRPr="00D92385" w:rsidRDefault="000966C6" w:rsidP="001D30D4">
            <w:pPr>
              <w:pStyle w:val="Tablenormalcondensed"/>
              <w:rPr>
                <w:rFonts w:cs="Calibri"/>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F9997EE" w14:textId="77777777" w:rsidR="000966C6" w:rsidRPr="00D92385" w:rsidRDefault="000966C6" w:rsidP="001D30D4">
            <w:pPr>
              <w:pStyle w:val="Tablenormalcondensed"/>
              <w:rPr>
                <w:rFonts w:cs="Calibri"/>
              </w:rPr>
            </w:pPr>
            <w:r w:rsidRPr="00D92385">
              <w:rPr>
                <w:rFonts w:cs="Calibri"/>
              </w:rPr>
              <w:sym w:font="Wingdings" w:char="F0FC"/>
            </w:r>
          </w:p>
        </w:tc>
      </w:tr>
      <w:tr w:rsidR="000966C6" w:rsidRPr="00D92385" w14:paraId="0976E20A" w14:textId="77777777" w:rsidTr="0051187E">
        <w:trPr>
          <w:trHeight w:val="233"/>
        </w:trPr>
        <w:tc>
          <w:tcPr>
            <w:tcW w:w="1134" w:type="dxa"/>
            <w:vMerge/>
            <w:tcBorders>
              <w:right w:val="single" w:sz="6" w:space="0" w:color="1F546B" w:themeColor="text2"/>
            </w:tcBorders>
            <w:vAlign w:val="center"/>
          </w:tcPr>
          <w:p w14:paraId="07F6519A" w14:textId="77777777" w:rsidR="000966C6" w:rsidRPr="00D92385" w:rsidRDefault="000966C6" w:rsidP="002E3FC4">
            <w:pPr>
              <w:pStyle w:val="Tablenormalcondensed"/>
              <w:rPr>
                <w:rFonts w:cs="Calibri"/>
                <w:color w:val="000000" w:themeColor="text1"/>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FA5406A" w14:textId="77777777" w:rsidR="000966C6" w:rsidRPr="00B008BB" w:rsidRDefault="000966C6" w:rsidP="002E3FC4">
            <w:pPr>
              <w:pStyle w:val="Tablenormalcondensed"/>
              <w:rPr>
                <w:rFonts w:cs="Calibri"/>
              </w:rPr>
            </w:pPr>
            <w:r w:rsidRPr="00B008BB">
              <w:rPr>
                <w:rFonts w:cs="Calibri"/>
              </w:rPr>
              <w:t xml:space="preserve">Local Iwi/Māori stakeholders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1A4D037" w14:textId="77777777" w:rsidR="000966C6" w:rsidRPr="00D92385" w:rsidRDefault="000966C6" w:rsidP="002E3FC4">
            <w:pPr>
              <w:pStyle w:val="Tablenormalcondensed"/>
              <w:rPr>
                <w:rFonts w:cs="Calibri"/>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AD4A02D" w14:textId="77777777" w:rsidR="000966C6" w:rsidRPr="00D92385" w:rsidRDefault="000966C6" w:rsidP="002E3FC4">
            <w:pPr>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0A11C228" w14:textId="77777777" w:rsidR="000966C6" w:rsidRPr="00D92385" w:rsidRDefault="000966C6" w:rsidP="002E3FC4">
            <w:pPr>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65229E8" w14:textId="77777777" w:rsidR="000966C6" w:rsidRPr="00D92385" w:rsidRDefault="000966C6" w:rsidP="002E3FC4">
            <w:pPr>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91E9E04" w14:textId="77777777" w:rsidR="000966C6" w:rsidRPr="00D92385" w:rsidRDefault="000966C6" w:rsidP="002E3FC4">
            <w:pPr>
              <w:pStyle w:val="Tablenormalcondensed"/>
              <w:rPr>
                <w:rFonts w:cs="Calibri"/>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6A0FF82" w14:textId="77777777" w:rsidR="000966C6" w:rsidRPr="00D92385" w:rsidRDefault="000966C6" w:rsidP="002E3FC4">
            <w:pPr>
              <w:pStyle w:val="Tablenormalcondensed"/>
              <w:rPr>
                <w:rFonts w:cs="Calibri"/>
                <w:highlight w:val="yellow"/>
              </w:rPr>
            </w:pPr>
          </w:p>
        </w:tc>
      </w:tr>
      <w:tr w:rsidR="000966C6" w:rsidRPr="00D92385" w14:paraId="472E9093" w14:textId="77777777" w:rsidTr="0051187E">
        <w:trPr>
          <w:trHeight w:val="233"/>
        </w:trPr>
        <w:tc>
          <w:tcPr>
            <w:tcW w:w="1134" w:type="dxa"/>
            <w:vMerge/>
            <w:tcBorders>
              <w:bottom w:val="single" w:sz="6" w:space="0" w:color="1F546B" w:themeColor="text2"/>
              <w:right w:val="single" w:sz="6" w:space="0" w:color="1F546B" w:themeColor="text2"/>
            </w:tcBorders>
            <w:vAlign w:val="center"/>
          </w:tcPr>
          <w:p w14:paraId="30CA5BDF" w14:textId="77777777" w:rsidR="000966C6" w:rsidRPr="00D92385" w:rsidRDefault="000966C6" w:rsidP="000966C6">
            <w:pPr>
              <w:pStyle w:val="Tablenormalcondensed"/>
              <w:rPr>
                <w:rFonts w:cs="Calibri"/>
                <w:color w:val="000000" w:themeColor="text1"/>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E33435D" w14:textId="77777777" w:rsidR="000966C6" w:rsidRPr="00B008BB" w:rsidRDefault="000966C6" w:rsidP="000966C6">
            <w:pPr>
              <w:pStyle w:val="Tablenormalcondensed"/>
              <w:rPr>
                <w:rFonts w:cs="Calibri"/>
              </w:rPr>
            </w:pPr>
            <w:proofErr w:type="spellStart"/>
            <w:r w:rsidRPr="00B008BB">
              <w:rPr>
                <w:rFonts w:cs="Calibri"/>
              </w:rPr>
              <w:t>Kahui</w:t>
            </w:r>
            <w:proofErr w:type="spellEnd"/>
            <w:r w:rsidRPr="00B008BB">
              <w:rPr>
                <w:rFonts w:cs="Calibri"/>
              </w:rPr>
              <w:t xml:space="preserve"> Kaitiaki</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FAC4051" w14:textId="77777777" w:rsidR="000966C6" w:rsidRPr="00D92385" w:rsidRDefault="000966C6" w:rsidP="000966C6">
            <w:pPr>
              <w:pStyle w:val="Tablenormalcondensed"/>
              <w:rPr>
                <w:rFonts w:cs="Calibri"/>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E2C5518" w14:textId="77777777" w:rsidR="000966C6" w:rsidRPr="00D92385" w:rsidRDefault="000966C6" w:rsidP="000966C6">
            <w:pPr>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5C94253" w14:textId="77777777" w:rsidR="000966C6" w:rsidRPr="00D92385" w:rsidRDefault="000966C6" w:rsidP="000966C6">
            <w:pPr>
              <w:rPr>
                <w:rFonts w:cs="Calibri"/>
              </w:rPr>
            </w:pPr>
            <w:r w:rsidRPr="00D92385">
              <w:rPr>
                <w:rFonts w:cs="Calibri"/>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502445D" w14:textId="77777777" w:rsidR="000966C6" w:rsidRPr="00D92385" w:rsidRDefault="000966C6" w:rsidP="000966C6">
            <w:pPr>
              <w:rPr>
                <w:rFonts w:cs="Calibri"/>
              </w:rPr>
            </w:pPr>
            <w:r w:rsidRPr="00D92385">
              <w:rPr>
                <w:rFonts w:cs="Calibri"/>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305984C" w14:textId="77777777" w:rsidR="000966C6" w:rsidRPr="00D92385" w:rsidRDefault="000966C6" w:rsidP="000966C6">
            <w:pPr>
              <w:pStyle w:val="Tablenormalcondensed"/>
              <w:rPr>
                <w:rFonts w:cs="Calibri"/>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8B086C2" w14:textId="77777777" w:rsidR="000966C6" w:rsidRPr="00D92385" w:rsidRDefault="000966C6" w:rsidP="000966C6">
            <w:pPr>
              <w:pStyle w:val="Tablenormalcondensed"/>
              <w:rPr>
                <w:rFonts w:cs="Calibri"/>
                <w:highlight w:val="yellow"/>
              </w:rPr>
            </w:pPr>
          </w:p>
        </w:tc>
      </w:tr>
    </w:tbl>
    <w:p w14:paraId="606D37E9" w14:textId="77777777" w:rsidR="008023C3" w:rsidRPr="00D92385" w:rsidRDefault="008023C3" w:rsidP="00ED37A7">
      <w:pPr>
        <w:pStyle w:val="Tinyline"/>
        <w:rPr>
          <w:rFonts w:cs="Calibri"/>
          <w:sz w:val="24"/>
        </w:rPr>
      </w:pPr>
    </w:p>
    <w:p w14:paraId="5906BDAF" w14:textId="77777777" w:rsidR="00ED37A7" w:rsidRPr="00D92385" w:rsidRDefault="00ED37A7" w:rsidP="00ED37A7">
      <w:pPr>
        <w:pStyle w:val="Tinyline"/>
        <w:rPr>
          <w:rFonts w:cs="Calibri"/>
          <w:sz w:val="24"/>
        </w:rPr>
      </w:pPr>
    </w:p>
    <w:tbl>
      <w:tblPr>
        <w:tblStyle w:val="Blanktable"/>
        <w:tblW w:w="9815"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922"/>
        <w:gridCol w:w="4893"/>
      </w:tblGrid>
      <w:tr w:rsidR="00ED37A7" w:rsidRPr="00D92385" w14:paraId="2A6983DC" w14:textId="77777777" w:rsidTr="00331BD9">
        <w:trPr>
          <w:trHeight w:val="477"/>
          <w:tblHeader/>
        </w:trPr>
        <w:tc>
          <w:tcPr>
            <w:tcW w:w="98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72A7CCD2" w14:textId="77777777" w:rsidR="00ED37A7" w:rsidRPr="00D92385" w:rsidRDefault="00ED37A7" w:rsidP="00ED37A7">
            <w:pPr>
              <w:pStyle w:val="Tableheading"/>
              <w:rPr>
                <w:rFonts w:cs="Calibri"/>
                <w:sz w:val="24"/>
              </w:rPr>
            </w:pPr>
            <w:r w:rsidRPr="00D92385">
              <w:rPr>
                <w:rFonts w:cs="Calibri"/>
                <w:sz w:val="24"/>
              </w:rPr>
              <w:t xml:space="preserve">Your delegations </w:t>
            </w:r>
          </w:p>
        </w:tc>
      </w:tr>
      <w:tr w:rsidR="00ED37A7" w:rsidRPr="00D92385" w14:paraId="04326EF1" w14:textId="77777777" w:rsidTr="00331BD9">
        <w:trPr>
          <w:trHeight w:val="397"/>
        </w:trPr>
        <w:tc>
          <w:tcPr>
            <w:tcW w:w="4922" w:type="dxa"/>
            <w:tcBorders>
              <w:top w:val="nil"/>
              <w:left w:val="nil"/>
              <w:bottom w:val="single" w:sz="6" w:space="0" w:color="1F546B" w:themeColor="text2"/>
              <w:right w:val="single" w:sz="6" w:space="0" w:color="1F546B" w:themeColor="text2"/>
            </w:tcBorders>
            <w:shd w:val="clear" w:color="auto" w:fill="auto"/>
          </w:tcPr>
          <w:p w14:paraId="2CF4543B" w14:textId="77777777" w:rsidR="00ED37A7" w:rsidRPr="00D92385" w:rsidRDefault="00ED37A7" w:rsidP="00880632">
            <w:pPr>
              <w:pStyle w:val="Tablenormal0"/>
              <w:rPr>
                <w:rFonts w:cs="Calibri"/>
              </w:rPr>
            </w:pPr>
            <w:r w:rsidRPr="00D92385">
              <w:rPr>
                <w:rFonts w:cs="Calibri"/>
              </w:rPr>
              <w:t>Human Resources and financial delegations</w:t>
            </w:r>
          </w:p>
        </w:tc>
        <w:tc>
          <w:tcPr>
            <w:tcW w:w="4892" w:type="dxa"/>
            <w:tcBorders>
              <w:top w:val="nil"/>
              <w:left w:val="single" w:sz="6" w:space="0" w:color="1F546B" w:themeColor="text2"/>
              <w:bottom w:val="single" w:sz="6" w:space="0" w:color="1F546B" w:themeColor="text2"/>
              <w:right w:val="nil"/>
            </w:tcBorders>
            <w:shd w:val="clear" w:color="auto" w:fill="auto"/>
          </w:tcPr>
          <w:p w14:paraId="345035F3" w14:textId="77777777" w:rsidR="00ED37A7" w:rsidRPr="00D92385" w:rsidRDefault="0066273F" w:rsidP="00ED37A7">
            <w:pPr>
              <w:pStyle w:val="Tablenormal0"/>
              <w:rPr>
                <w:rFonts w:cs="Calibri"/>
              </w:rPr>
            </w:pPr>
            <w:r w:rsidRPr="00D92385">
              <w:rPr>
                <w:rFonts w:cs="Calibri"/>
              </w:rPr>
              <w:t>Z</w:t>
            </w:r>
          </w:p>
        </w:tc>
      </w:tr>
      <w:tr w:rsidR="00ED37A7" w:rsidRPr="00D92385" w14:paraId="32A6892B" w14:textId="77777777" w:rsidTr="00331BD9">
        <w:trPr>
          <w:trHeight w:val="397"/>
        </w:trPr>
        <w:tc>
          <w:tcPr>
            <w:tcW w:w="4922" w:type="dxa"/>
            <w:tcBorders>
              <w:top w:val="single" w:sz="6" w:space="0" w:color="1F546B" w:themeColor="text2"/>
              <w:left w:val="nil"/>
              <w:bottom w:val="single" w:sz="6" w:space="0" w:color="1F546B" w:themeColor="text2"/>
              <w:right w:val="single" w:sz="6" w:space="0" w:color="1F546B" w:themeColor="text2"/>
            </w:tcBorders>
            <w:shd w:val="clear" w:color="auto" w:fill="auto"/>
          </w:tcPr>
          <w:p w14:paraId="1DD6C7DA" w14:textId="77777777" w:rsidR="00ED37A7" w:rsidRPr="00D92385" w:rsidRDefault="00ED37A7" w:rsidP="00880632">
            <w:pPr>
              <w:pStyle w:val="Tablenormal0"/>
              <w:rPr>
                <w:rFonts w:cs="Calibri"/>
              </w:rPr>
            </w:pPr>
            <w:r w:rsidRPr="00D92385">
              <w:rPr>
                <w:rFonts w:cs="Calibri"/>
              </w:rPr>
              <w:t>Direct reports</w:t>
            </w:r>
          </w:p>
        </w:tc>
        <w:tc>
          <w:tcPr>
            <w:tcW w:w="4892" w:type="dxa"/>
            <w:tcBorders>
              <w:top w:val="single" w:sz="6" w:space="0" w:color="1F546B" w:themeColor="text2"/>
              <w:left w:val="single" w:sz="6" w:space="0" w:color="1F546B" w:themeColor="text2"/>
              <w:bottom w:val="single" w:sz="6" w:space="0" w:color="1F546B" w:themeColor="text2"/>
              <w:right w:val="nil"/>
            </w:tcBorders>
            <w:shd w:val="clear" w:color="auto" w:fill="auto"/>
          </w:tcPr>
          <w:p w14:paraId="53BDC7CB" w14:textId="77777777" w:rsidR="00ED37A7" w:rsidRPr="00D92385" w:rsidRDefault="002E3FC4" w:rsidP="00880632">
            <w:pPr>
              <w:pStyle w:val="Tablenormal0"/>
              <w:rPr>
                <w:rFonts w:cs="Calibri"/>
              </w:rPr>
            </w:pPr>
            <w:r w:rsidRPr="00D92385">
              <w:rPr>
                <w:rFonts w:cs="Calibri"/>
              </w:rPr>
              <w:t>0</w:t>
            </w:r>
            <w:r w:rsidR="002E563A" w:rsidRPr="00D92385">
              <w:rPr>
                <w:rFonts w:cs="Calibri"/>
              </w:rPr>
              <w:t xml:space="preserve"> </w:t>
            </w:r>
          </w:p>
        </w:tc>
      </w:tr>
    </w:tbl>
    <w:p w14:paraId="39E908F8" w14:textId="77777777" w:rsidR="00ED37A7" w:rsidRPr="00D92385" w:rsidRDefault="00ED37A7" w:rsidP="00ED37A7">
      <w:pPr>
        <w:pStyle w:val="Tinyline"/>
        <w:rPr>
          <w:rFonts w:cs="Calibri"/>
          <w:sz w:val="24"/>
        </w:rPr>
      </w:pPr>
    </w:p>
    <w:p w14:paraId="3C09DD79" w14:textId="77777777" w:rsidR="00ED37A7" w:rsidRPr="00D92385" w:rsidRDefault="00ED37A7" w:rsidP="00ED37A7">
      <w:pPr>
        <w:pStyle w:val="Tinyline"/>
        <w:rPr>
          <w:rFonts w:cs="Calibri"/>
          <w:sz w:val="24"/>
        </w:rPr>
      </w:pPr>
    </w:p>
    <w:p w14:paraId="61823A74" w14:textId="77777777" w:rsidR="0017733E" w:rsidRPr="00D92385" w:rsidRDefault="0017733E" w:rsidP="00ED37A7">
      <w:pPr>
        <w:pStyle w:val="Tinyline"/>
        <w:rPr>
          <w:rFonts w:cs="Calibri"/>
          <w:sz w:val="24"/>
        </w:rPr>
      </w:pPr>
    </w:p>
    <w:p w14:paraId="5C0969A0" w14:textId="77777777" w:rsidR="0017733E" w:rsidRPr="00D92385" w:rsidRDefault="0017733E" w:rsidP="00ED37A7">
      <w:pPr>
        <w:pStyle w:val="Tinyline"/>
        <w:rPr>
          <w:rFonts w:cs="Calibri"/>
          <w:sz w:val="24"/>
        </w:rPr>
      </w:pPr>
    </w:p>
    <w:p w14:paraId="70261822" w14:textId="77777777" w:rsidR="0017733E" w:rsidRDefault="0017733E" w:rsidP="00ED37A7">
      <w:pPr>
        <w:pStyle w:val="Tinyline"/>
        <w:rPr>
          <w:rFonts w:cs="Calibri"/>
          <w:sz w:val="24"/>
        </w:rPr>
      </w:pPr>
    </w:p>
    <w:p w14:paraId="0078B79B" w14:textId="77777777" w:rsidR="00D92385" w:rsidRDefault="00D92385" w:rsidP="00ED37A7">
      <w:pPr>
        <w:pStyle w:val="Tinyline"/>
        <w:rPr>
          <w:rFonts w:cs="Calibri"/>
          <w:sz w:val="24"/>
        </w:rPr>
      </w:pPr>
    </w:p>
    <w:p w14:paraId="32287479" w14:textId="77777777" w:rsidR="00D92385" w:rsidRDefault="00D92385" w:rsidP="00ED37A7">
      <w:pPr>
        <w:pStyle w:val="Tinyline"/>
        <w:rPr>
          <w:rFonts w:cs="Calibri"/>
          <w:sz w:val="24"/>
        </w:rPr>
      </w:pPr>
    </w:p>
    <w:p w14:paraId="55092484" w14:textId="77777777" w:rsidR="00D92385" w:rsidRPr="00D92385" w:rsidRDefault="00D92385" w:rsidP="00ED37A7">
      <w:pPr>
        <w:pStyle w:val="Tinyline"/>
        <w:rPr>
          <w:rFonts w:cs="Calibri"/>
          <w:sz w:val="24"/>
        </w:rPr>
      </w:pPr>
    </w:p>
    <w:p w14:paraId="5ACACA22" w14:textId="77777777" w:rsidR="0017733E" w:rsidRPr="00D92385" w:rsidRDefault="0017733E" w:rsidP="00ED37A7">
      <w:pPr>
        <w:pStyle w:val="Tinyline"/>
        <w:rPr>
          <w:rFonts w:cs="Calibri"/>
          <w:sz w:val="24"/>
        </w:rPr>
      </w:pPr>
    </w:p>
    <w:p w14:paraId="30B96B58" w14:textId="77777777" w:rsidR="0017733E" w:rsidRPr="00D92385" w:rsidRDefault="0017733E" w:rsidP="00ED37A7">
      <w:pPr>
        <w:pStyle w:val="Tinyline"/>
        <w:rPr>
          <w:rFonts w:cs="Calibri"/>
          <w:sz w:val="24"/>
        </w:rPr>
      </w:pPr>
    </w:p>
    <w:p w14:paraId="5457E583" w14:textId="77777777" w:rsidR="0017733E" w:rsidRPr="00D92385" w:rsidRDefault="0017733E" w:rsidP="00ED37A7">
      <w:pPr>
        <w:pStyle w:val="Tinyline"/>
        <w:rPr>
          <w:rFonts w:cs="Calibri"/>
          <w:sz w:val="24"/>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987"/>
        <w:gridCol w:w="4528"/>
      </w:tblGrid>
      <w:tr w:rsidR="008023C3" w:rsidRPr="00D92385" w14:paraId="2F45B6B9" w14:textId="77777777" w:rsidTr="004918D1">
        <w:trPr>
          <w:tblHeader/>
        </w:trPr>
        <w:tc>
          <w:tcPr>
            <w:tcW w:w="4987"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4B0CA490" w14:textId="77777777" w:rsidR="008023C3" w:rsidRPr="00D92385" w:rsidRDefault="008023C3" w:rsidP="00B90EE6">
            <w:pPr>
              <w:pStyle w:val="Tableheading"/>
              <w:rPr>
                <w:rFonts w:cs="Calibri"/>
                <w:sz w:val="24"/>
              </w:rPr>
            </w:pPr>
            <w:r w:rsidRPr="00D92385">
              <w:rPr>
                <w:rFonts w:cs="Calibri"/>
                <w:sz w:val="24"/>
              </w:rPr>
              <w:lastRenderedPageBreak/>
              <w:t>Your success profile for this role</w:t>
            </w:r>
          </w:p>
        </w:tc>
        <w:tc>
          <w:tcPr>
            <w:tcW w:w="4528"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3F11F736" w14:textId="77777777" w:rsidR="008023C3" w:rsidRPr="00D92385" w:rsidRDefault="008023C3" w:rsidP="00B90EE6">
            <w:pPr>
              <w:pStyle w:val="Tableheading"/>
              <w:rPr>
                <w:rFonts w:cs="Calibri"/>
                <w:sz w:val="24"/>
              </w:rPr>
            </w:pPr>
            <w:r w:rsidRPr="00D92385">
              <w:rPr>
                <w:rFonts w:cs="Calibri"/>
                <w:sz w:val="24"/>
              </w:rPr>
              <w:t>What you will bring specifically</w:t>
            </w:r>
          </w:p>
        </w:tc>
      </w:tr>
      <w:tr w:rsidR="008023C3" w:rsidRPr="00D92385" w14:paraId="32A66502" w14:textId="77777777" w:rsidTr="004918D1">
        <w:tc>
          <w:tcPr>
            <w:tcW w:w="4987" w:type="dxa"/>
            <w:tcBorders>
              <w:top w:val="nil"/>
              <w:left w:val="nil"/>
              <w:bottom w:val="single" w:sz="6" w:space="0" w:color="1F546B" w:themeColor="text2"/>
              <w:right w:val="single" w:sz="6" w:space="0" w:color="1F546B" w:themeColor="text2"/>
            </w:tcBorders>
          </w:tcPr>
          <w:p w14:paraId="207FA476" w14:textId="77777777" w:rsidR="008023C3" w:rsidRPr="00D92385" w:rsidRDefault="008023C3" w:rsidP="009E40D1">
            <w:pPr>
              <w:pStyle w:val="Tablenormal0"/>
              <w:rPr>
                <w:rFonts w:cs="Calibri"/>
              </w:rPr>
            </w:pPr>
            <w:r w:rsidRPr="00D92385">
              <w:rPr>
                <w:rFonts w:cs="Calibri"/>
              </w:rPr>
              <w:t xml:space="preserve">At DIA, we have a Capability Framework to help guide our people towards the behaviours and skills needed to be successful. The core success profile for </w:t>
            </w:r>
            <w:r w:rsidR="00EA6AD8" w:rsidRPr="00D92385">
              <w:rPr>
                <w:rFonts w:cs="Calibri"/>
              </w:rPr>
              <w:t>this</w:t>
            </w:r>
            <w:r w:rsidRPr="00D92385">
              <w:rPr>
                <w:rFonts w:cs="Calibri"/>
              </w:rPr>
              <w:t xml:space="preserve"> role is </w:t>
            </w:r>
            <w:hyperlink r:id="rId13" w:history="1">
              <w:r w:rsidR="00820EC3" w:rsidRPr="00D92385">
                <w:rPr>
                  <w:rStyle w:val="Hyperlink"/>
                  <w:rFonts w:cs="Calibri"/>
                </w:rPr>
                <w:t>Specialist</w:t>
              </w:r>
            </w:hyperlink>
            <w:r w:rsidR="001D30D4" w:rsidRPr="00D92385">
              <w:rPr>
                <w:rFonts w:cs="Calibri"/>
              </w:rPr>
              <w:t>.</w:t>
            </w:r>
            <w:r w:rsidRPr="00D92385">
              <w:rPr>
                <w:rFonts w:cs="Calibri"/>
              </w:rPr>
              <w:br/>
            </w:r>
            <w:r w:rsidRPr="00D92385">
              <w:rPr>
                <w:rFonts w:cs="Calibri"/>
              </w:rPr>
              <w:br/>
            </w:r>
            <w:r w:rsidRPr="00D92385">
              <w:rPr>
                <w:rFonts w:cs="Calibri"/>
                <w:b/>
                <w:bCs/>
              </w:rPr>
              <w:t>Keys to Success:</w:t>
            </w:r>
          </w:p>
          <w:p w14:paraId="5BD500C2" w14:textId="77777777" w:rsidR="00820EC3" w:rsidRPr="00D92385" w:rsidRDefault="00820EC3" w:rsidP="00820EC3">
            <w:pPr>
              <w:pStyle w:val="Tablebullet"/>
              <w:rPr>
                <w:rFonts w:cs="Calibri"/>
              </w:rPr>
            </w:pPr>
            <w:r w:rsidRPr="00D92385">
              <w:rPr>
                <w:rFonts w:cs="Calibri"/>
              </w:rPr>
              <w:t>Problem solving</w:t>
            </w:r>
          </w:p>
          <w:p w14:paraId="158AEDAB" w14:textId="77777777" w:rsidR="00820EC3" w:rsidRPr="00D92385" w:rsidRDefault="00820EC3" w:rsidP="00820EC3">
            <w:pPr>
              <w:pStyle w:val="Tablebullet"/>
              <w:rPr>
                <w:rFonts w:cs="Calibri"/>
              </w:rPr>
            </w:pPr>
            <w:r w:rsidRPr="00D92385">
              <w:rPr>
                <w:rFonts w:cs="Calibri"/>
              </w:rPr>
              <w:t>Critical thinking</w:t>
            </w:r>
          </w:p>
          <w:p w14:paraId="0DCC6EC6" w14:textId="77777777" w:rsidR="00820EC3" w:rsidRPr="00D92385" w:rsidRDefault="00820EC3" w:rsidP="00820EC3">
            <w:pPr>
              <w:pStyle w:val="Tablebullet"/>
              <w:rPr>
                <w:rFonts w:cs="Calibri"/>
              </w:rPr>
            </w:pPr>
            <w:r w:rsidRPr="00D92385">
              <w:rPr>
                <w:rFonts w:cs="Calibri"/>
              </w:rPr>
              <w:t>Interpersonal savvy</w:t>
            </w:r>
          </w:p>
          <w:p w14:paraId="76C25780" w14:textId="77777777" w:rsidR="00820EC3" w:rsidRPr="00D92385" w:rsidRDefault="00820EC3" w:rsidP="00820EC3">
            <w:pPr>
              <w:pStyle w:val="Tablebullet"/>
              <w:rPr>
                <w:rFonts w:cs="Calibri"/>
              </w:rPr>
            </w:pPr>
            <w:r w:rsidRPr="00D92385">
              <w:rPr>
                <w:rFonts w:cs="Calibri"/>
              </w:rPr>
              <w:t>Navigating complexity</w:t>
            </w:r>
          </w:p>
          <w:p w14:paraId="18A3C4D6" w14:textId="77777777" w:rsidR="00820EC3" w:rsidRPr="00D92385" w:rsidRDefault="00820EC3" w:rsidP="00820EC3">
            <w:pPr>
              <w:pStyle w:val="Tablebullet"/>
              <w:rPr>
                <w:rFonts w:cs="Calibri"/>
              </w:rPr>
            </w:pPr>
            <w:r w:rsidRPr="00D92385">
              <w:rPr>
                <w:rFonts w:cs="Calibri"/>
              </w:rPr>
              <w:t>Communicating with influence</w:t>
            </w:r>
          </w:p>
          <w:p w14:paraId="5DC2F89E" w14:textId="77777777" w:rsidR="008023C3" w:rsidRPr="00D92385" w:rsidRDefault="00820EC3" w:rsidP="00820EC3">
            <w:pPr>
              <w:pStyle w:val="Tablebullet"/>
              <w:rPr>
                <w:rFonts w:cs="Calibri"/>
              </w:rPr>
            </w:pPr>
            <w:r w:rsidRPr="00D92385">
              <w:rPr>
                <w:rFonts w:cs="Calibri"/>
              </w:rPr>
              <w:t>Technical and specialist learning</w:t>
            </w:r>
          </w:p>
        </w:tc>
        <w:tc>
          <w:tcPr>
            <w:tcW w:w="4528" w:type="dxa"/>
            <w:tcBorders>
              <w:top w:val="nil"/>
              <w:left w:val="single" w:sz="6" w:space="0" w:color="1F546B" w:themeColor="text2"/>
              <w:bottom w:val="single" w:sz="6" w:space="0" w:color="1F546B" w:themeColor="text2"/>
              <w:right w:val="nil"/>
            </w:tcBorders>
          </w:tcPr>
          <w:p w14:paraId="1BC8AC0D" w14:textId="77777777" w:rsidR="008023C3" w:rsidRPr="00D92385" w:rsidRDefault="008023C3" w:rsidP="001D30D4">
            <w:pPr>
              <w:pStyle w:val="Tablenormal0"/>
              <w:rPr>
                <w:rFonts w:cs="Calibri"/>
                <w:b/>
                <w:bCs/>
              </w:rPr>
            </w:pPr>
            <w:r w:rsidRPr="00D92385">
              <w:rPr>
                <w:rFonts w:cs="Calibri"/>
                <w:b/>
                <w:bCs/>
              </w:rPr>
              <w:t xml:space="preserve">Experience: </w:t>
            </w:r>
          </w:p>
          <w:p w14:paraId="7C7D42B7" w14:textId="77777777" w:rsidR="00781B26" w:rsidRDefault="002E563A" w:rsidP="00781B26">
            <w:pPr>
              <w:pStyle w:val="Default"/>
              <w:numPr>
                <w:ilvl w:val="0"/>
                <w:numId w:val="36"/>
              </w:numPr>
              <w:spacing w:after="57"/>
            </w:pPr>
            <w:r w:rsidRPr="00781B26">
              <w:t>Confident Māori leader and communicator working in a Crown-Māori cultural context</w:t>
            </w:r>
          </w:p>
          <w:p w14:paraId="6C755812" w14:textId="77777777" w:rsidR="00781B26" w:rsidRPr="00781B26" w:rsidRDefault="002E563A" w:rsidP="00781B26">
            <w:pPr>
              <w:pStyle w:val="Default"/>
              <w:numPr>
                <w:ilvl w:val="0"/>
                <w:numId w:val="36"/>
              </w:numPr>
              <w:spacing w:after="57"/>
            </w:pPr>
            <w:r w:rsidRPr="00781B26">
              <w:t xml:space="preserve">Ability to build trust and confidence </w:t>
            </w:r>
            <w:r w:rsidRPr="00781B26">
              <w:rPr>
                <w:color w:val="auto"/>
              </w:rPr>
              <w:t xml:space="preserve">with colleagues </w:t>
            </w:r>
          </w:p>
          <w:p w14:paraId="6CC09276" w14:textId="77777777" w:rsidR="00781B26" w:rsidRDefault="004C4278" w:rsidP="00781B26">
            <w:pPr>
              <w:pStyle w:val="Default"/>
              <w:numPr>
                <w:ilvl w:val="0"/>
                <w:numId w:val="36"/>
              </w:numPr>
              <w:spacing w:after="57"/>
            </w:pPr>
            <w:r w:rsidRPr="00781B26">
              <w:t>Demonstrated ability</w:t>
            </w:r>
            <w:r w:rsidR="002E563A" w:rsidRPr="00781B26">
              <w:t xml:space="preserve"> develop </w:t>
            </w:r>
            <w:r w:rsidR="00A34F21" w:rsidRPr="00781B26">
              <w:t>mana-</w:t>
            </w:r>
            <w:r w:rsidR="00AD7095" w:rsidRPr="00781B26">
              <w:t>enhanc</w:t>
            </w:r>
            <w:r w:rsidR="00A34F21" w:rsidRPr="00781B26">
              <w:t xml:space="preserve">ing </w:t>
            </w:r>
            <w:r w:rsidR="00AD7095" w:rsidRPr="00781B26">
              <w:t xml:space="preserve">and </w:t>
            </w:r>
            <w:r w:rsidR="002E563A" w:rsidRPr="00781B26">
              <w:t>strong relationships with internal and external stakeholders</w:t>
            </w:r>
          </w:p>
          <w:p w14:paraId="32BFB6AC" w14:textId="77777777" w:rsidR="004C4278" w:rsidRPr="00781B26" w:rsidRDefault="002E563A" w:rsidP="00781B26">
            <w:pPr>
              <w:pStyle w:val="Default"/>
              <w:numPr>
                <w:ilvl w:val="0"/>
                <w:numId w:val="36"/>
              </w:numPr>
              <w:spacing w:after="57"/>
            </w:pPr>
            <w:r w:rsidRPr="00781B26">
              <w:t>Integrity, mana, emotional intelligence and resilience</w:t>
            </w:r>
          </w:p>
          <w:p w14:paraId="7FCFBD6C" w14:textId="77777777" w:rsidR="008023C3" w:rsidRPr="00D92385" w:rsidRDefault="008023C3" w:rsidP="001D30D4">
            <w:pPr>
              <w:pStyle w:val="Tablenormal0"/>
              <w:rPr>
                <w:rFonts w:cs="Calibri"/>
                <w:b/>
                <w:bCs/>
              </w:rPr>
            </w:pPr>
            <w:r w:rsidRPr="00D92385">
              <w:rPr>
                <w:rFonts w:cs="Calibri"/>
                <w:b/>
                <w:bCs/>
              </w:rPr>
              <w:t>Knowledge:</w:t>
            </w:r>
          </w:p>
          <w:p w14:paraId="5FA2C960" w14:textId="77777777" w:rsidR="00611D6B" w:rsidRDefault="00361F75" w:rsidP="00361F75">
            <w:pPr>
              <w:pStyle w:val="Default"/>
              <w:numPr>
                <w:ilvl w:val="0"/>
                <w:numId w:val="36"/>
              </w:numPr>
              <w:spacing w:after="57"/>
            </w:pPr>
            <w:r w:rsidRPr="00781B26">
              <w:t xml:space="preserve">High proficiency in </w:t>
            </w:r>
            <w:proofErr w:type="spellStart"/>
            <w:r w:rsidRPr="00781B26">
              <w:t>te</w:t>
            </w:r>
            <w:proofErr w:type="spellEnd"/>
            <w:r w:rsidRPr="00781B26">
              <w:t xml:space="preserve"> </w:t>
            </w:r>
            <w:proofErr w:type="spellStart"/>
            <w:r w:rsidRPr="00781B26">
              <w:t>reo</w:t>
            </w:r>
            <w:proofErr w:type="spellEnd"/>
            <w:r w:rsidRPr="00781B26">
              <w:t xml:space="preserve"> Māori, both written and spoken</w:t>
            </w:r>
          </w:p>
          <w:p w14:paraId="03144C82" w14:textId="77777777" w:rsidR="00A01173" w:rsidRDefault="00A01173" w:rsidP="00361F75">
            <w:pPr>
              <w:pStyle w:val="Default"/>
              <w:numPr>
                <w:ilvl w:val="0"/>
                <w:numId w:val="36"/>
              </w:numPr>
              <w:spacing w:after="57"/>
            </w:pPr>
            <w:r>
              <w:t>Community development principles</w:t>
            </w:r>
          </w:p>
          <w:p w14:paraId="3CC7C888" w14:textId="77777777" w:rsidR="008023C3" w:rsidRPr="00D92385" w:rsidRDefault="008023C3" w:rsidP="001D30D4">
            <w:pPr>
              <w:pStyle w:val="Tablenormal0"/>
              <w:rPr>
                <w:rFonts w:cs="Calibri"/>
                <w:b/>
                <w:bCs/>
              </w:rPr>
            </w:pPr>
            <w:r w:rsidRPr="00D92385">
              <w:rPr>
                <w:rFonts w:cs="Calibri"/>
                <w:b/>
                <w:bCs/>
              </w:rPr>
              <w:t>Skills:</w:t>
            </w:r>
          </w:p>
          <w:p w14:paraId="5764D0D0" w14:textId="77777777" w:rsidR="00781B26" w:rsidRDefault="002E3FC4" w:rsidP="00781B26">
            <w:pPr>
              <w:pStyle w:val="Default"/>
              <w:numPr>
                <w:ilvl w:val="0"/>
                <w:numId w:val="36"/>
              </w:numPr>
              <w:spacing w:after="57"/>
            </w:pPr>
            <w:r w:rsidRPr="00781B26">
              <w:t>L</w:t>
            </w:r>
            <w:r w:rsidR="002E563A" w:rsidRPr="00781B26">
              <w:t>eadership skills in various setting</w:t>
            </w:r>
            <w:r w:rsidR="00A34F21" w:rsidRPr="00781B26">
              <w:t>s</w:t>
            </w:r>
            <w:r w:rsidR="002E563A" w:rsidRPr="00781B26">
              <w:t xml:space="preserve"> which are results oriented</w:t>
            </w:r>
          </w:p>
          <w:p w14:paraId="51ABB060" w14:textId="77777777" w:rsidR="008023C3" w:rsidRDefault="002E563A" w:rsidP="00781B26">
            <w:pPr>
              <w:pStyle w:val="Default"/>
              <w:numPr>
                <w:ilvl w:val="0"/>
                <w:numId w:val="36"/>
              </w:numPr>
              <w:spacing w:after="57"/>
            </w:pPr>
            <w:r w:rsidRPr="00781B26">
              <w:t>Coaching and influencing skills to drive change through others</w:t>
            </w:r>
          </w:p>
          <w:p w14:paraId="429A3388" w14:textId="77777777" w:rsidR="00611D6B" w:rsidRDefault="00611D6B" w:rsidP="00611D6B">
            <w:pPr>
              <w:pStyle w:val="Default"/>
              <w:numPr>
                <w:ilvl w:val="0"/>
                <w:numId w:val="36"/>
              </w:numPr>
              <w:spacing w:after="57"/>
            </w:pPr>
            <w:r>
              <w:t>Demonstrates c</w:t>
            </w:r>
            <w:r w:rsidRPr="00781B26">
              <w:t>onflict resolutions skills which are solutions focused</w:t>
            </w:r>
          </w:p>
          <w:p w14:paraId="30B7CE63" w14:textId="77777777" w:rsidR="00331BD9" w:rsidRPr="00781B26" w:rsidRDefault="00331BD9" w:rsidP="00331BD9">
            <w:pPr>
              <w:pStyle w:val="Default"/>
              <w:numPr>
                <w:ilvl w:val="0"/>
                <w:numId w:val="36"/>
              </w:numPr>
              <w:spacing w:after="57"/>
            </w:pPr>
            <w:r>
              <w:t xml:space="preserve">Excellent facilitation and influencing skills </w:t>
            </w:r>
          </w:p>
          <w:p w14:paraId="1675679C" w14:textId="77777777" w:rsidR="008023C3" w:rsidRPr="00D92385" w:rsidRDefault="008023C3" w:rsidP="001D30D4">
            <w:pPr>
              <w:pStyle w:val="Tablenormal0"/>
              <w:rPr>
                <w:rFonts w:cs="Calibri"/>
                <w:b/>
                <w:bCs/>
              </w:rPr>
            </w:pPr>
            <w:r w:rsidRPr="00D92385">
              <w:rPr>
                <w:rFonts w:cs="Calibri"/>
                <w:b/>
                <w:bCs/>
              </w:rPr>
              <w:t>Other requirements:</w:t>
            </w:r>
          </w:p>
          <w:p w14:paraId="311495A1" w14:textId="77777777" w:rsidR="00781B26" w:rsidRPr="00781B26" w:rsidRDefault="00CE0CC0" w:rsidP="00781B26">
            <w:pPr>
              <w:pStyle w:val="Default"/>
              <w:numPr>
                <w:ilvl w:val="0"/>
                <w:numId w:val="36"/>
              </w:numPr>
              <w:spacing w:after="57"/>
            </w:pPr>
            <w:r w:rsidRPr="00781B26">
              <w:rPr>
                <w:color w:val="000000" w:themeColor="text1"/>
              </w:rPr>
              <w:t xml:space="preserve">Strong </w:t>
            </w:r>
            <w:r w:rsidR="000966C6" w:rsidRPr="00781B26">
              <w:rPr>
                <w:color w:val="000000" w:themeColor="text1"/>
              </w:rPr>
              <w:t xml:space="preserve">networks with decision makers, ideally </w:t>
            </w:r>
            <w:r w:rsidR="002E563A" w:rsidRPr="00781B26">
              <w:rPr>
                <w:color w:val="000000" w:themeColor="text1"/>
              </w:rPr>
              <w:t xml:space="preserve">in the Māori culture and heritage sector </w:t>
            </w:r>
          </w:p>
          <w:p w14:paraId="7DBCFFAD" w14:textId="77777777" w:rsidR="00781B26" w:rsidRPr="00331BD9" w:rsidRDefault="002E563A" w:rsidP="00781B26">
            <w:pPr>
              <w:pStyle w:val="Default"/>
              <w:numPr>
                <w:ilvl w:val="0"/>
                <w:numId w:val="36"/>
              </w:numPr>
              <w:spacing w:after="57"/>
            </w:pPr>
            <w:r w:rsidRPr="00781B26">
              <w:t xml:space="preserve">A relevant tertiary and/or post graduate </w:t>
            </w:r>
            <w:r w:rsidRPr="00781B26">
              <w:rPr>
                <w:color w:val="auto"/>
              </w:rPr>
              <w:t xml:space="preserve">qualification </w:t>
            </w:r>
          </w:p>
          <w:p w14:paraId="56A986E8" w14:textId="77777777" w:rsidR="0062513E" w:rsidRPr="00781B26" w:rsidRDefault="0062513E" w:rsidP="00781B26">
            <w:pPr>
              <w:pStyle w:val="Default"/>
              <w:numPr>
                <w:ilvl w:val="0"/>
                <w:numId w:val="36"/>
              </w:numPr>
              <w:spacing w:after="57"/>
            </w:pPr>
            <w:r w:rsidRPr="00781B26">
              <w:t>Some travel required</w:t>
            </w:r>
          </w:p>
          <w:p w14:paraId="40A9643F" w14:textId="77777777" w:rsidR="00781B26" w:rsidRDefault="00A34F21" w:rsidP="00781B26">
            <w:pPr>
              <w:pStyle w:val="Default"/>
              <w:numPr>
                <w:ilvl w:val="0"/>
                <w:numId w:val="36"/>
              </w:numPr>
              <w:spacing w:after="57"/>
            </w:pPr>
            <w:r w:rsidRPr="00781B26">
              <w:t xml:space="preserve">Written </w:t>
            </w:r>
            <w:r w:rsidR="00C664A8" w:rsidRPr="00781B26">
              <w:t>or verbal</w:t>
            </w:r>
            <w:r w:rsidR="00A22302" w:rsidRPr="00781B26">
              <w:t xml:space="preserve"> endorsement from </w:t>
            </w:r>
            <w:r w:rsidR="00CE0CC0" w:rsidRPr="00781B26">
              <w:t xml:space="preserve">one’s </w:t>
            </w:r>
            <w:r w:rsidR="00A22302" w:rsidRPr="00781B26">
              <w:t>Iwi/</w:t>
            </w:r>
            <w:proofErr w:type="spellStart"/>
            <w:r w:rsidR="00A22302" w:rsidRPr="00781B26">
              <w:t>H</w:t>
            </w:r>
            <w:r w:rsidR="00C664A8" w:rsidRPr="00781B26">
              <w:t>apū</w:t>
            </w:r>
            <w:proofErr w:type="spellEnd"/>
          </w:p>
          <w:p w14:paraId="3D77A94B" w14:textId="77777777" w:rsidR="00B008BB" w:rsidRPr="00781B26" w:rsidRDefault="00B008BB" w:rsidP="0062513E">
            <w:pPr>
              <w:pStyle w:val="Default"/>
              <w:spacing w:after="57"/>
              <w:ind w:left="360"/>
            </w:pPr>
          </w:p>
        </w:tc>
      </w:tr>
    </w:tbl>
    <w:p w14:paraId="347DD17F" w14:textId="77777777" w:rsidR="001676BD" w:rsidRPr="0017733E" w:rsidRDefault="001676BD" w:rsidP="00B90EE6">
      <w:pPr>
        <w:pStyle w:val="Tinyline"/>
        <w:rPr>
          <w:rFonts w:asciiTheme="minorHAnsi" w:hAnsiTheme="minorHAnsi" w:cstheme="minorHAnsi"/>
          <w:sz w:val="24"/>
        </w:rPr>
      </w:pPr>
    </w:p>
    <w:sectPr w:rsidR="001676BD" w:rsidRPr="0017733E" w:rsidSect="003F17A9">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4069" w14:textId="77777777" w:rsidR="00CC0CE7" w:rsidRDefault="00CC0CE7">
      <w:r>
        <w:separator/>
      </w:r>
    </w:p>
    <w:p w14:paraId="6CE7E916" w14:textId="77777777" w:rsidR="00CC0CE7" w:rsidRDefault="00CC0CE7"/>
    <w:p w14:paraId="17E5F565" w14:textId="77777777" w:rsidR="00CC0CE7" w:rsidRDefault="00CC0CE7"/>
  </w:endnote>
  <w:endnote w:type="continuationSeparator" w:id="0">
    <w:p w14:paraId="6C03D5AB" w14:textId="77777777" w:rsidR="00CC0CE7" w:rsidRDefault="00CC0CE7">
      <w:r>
        <w:continuationSeparator/>
      </w:r>
    </w:p>
    <w:p w14:paraId="6A28E0E1" w14:textId="77777777" w:rsidR="00CC0CE7" w:rsidRDefault="00CC0CE7"/>
    <w:p w14:paraId="3D47F6F9" w14:textId="77777777" w:rsidR="00CC0CE7" w:rsidRDefault="00CC0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D6D2"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2360F3">
      <w:rPr>
        <w:noProof/>
      </w:rPr>
      <w:t>2</w:t>
    </w:r>
    <w:r>
      <w:fldChar w:fldCharType="end"/>
    </w:r>
    <w:r>
      <w:t xml:space="preserve"> of </w:t>
    </w:r>
    <w:r w:rsidR="00DA35E4">
      <w:fldChar w:fldCharType="begin"/>
    </w:r>
    <w:r w:rsidR="00DA35E4">
      <w:instrText xml:space="preserve"> NUMPAGES   \* MERGEFORMAT </w:instrText>
    </w:r>
    <w:r w:rsidR="00DA35E4">
      <w:fldChar w:fldCharType="separate"/>
    </w:r>
    <w:r w:rsidR="002360F3">
      <w:rPr>
        <w:noProof/>
      </w:rPr>
      <w:t>2</w:t>
    </w:r>
    <w:r w:rsidR="00DA35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FBF7" w14:textId="77777777" w:rsidR="003F52D2" w:rsidRPr="004A18AF" w:rsidRDefault="004A18AF" w:rsidP="004A18AF">
    <w:pPr>
      <w:pStyle w:val="Footer"/>
      <w:tabs>
        <w:tab w:val="right" w:pos="9639"/>
      </w:tabs>
      <w:ind w:right="-1"/>
      <w:jc w:val="right"/>
      <w:rPr>
        <w:i w:val="0"/>
      </w:rPr>
    </w:pPr>
    <w:r w:rsidRPr="004A18AF">
      <w:rPr>
        <w:i w:val="0"/>
        <w:noProof/>
        <w:lang w:eastAsia="en-NZ"/>
      </w:rPr>
      <w:drawing>
        <wp:anchor distT="0" distB="0" distL="114300" distR="114300" simplePos="0" relativeHeight="251661312" behindDoc="0" locked="0" layoutInCell="1" allowOverlap="1" wp14:anchorId="57DD58B6" wp14:editId="790A21E6">
          <wp:simplePos x="0" y="0"/>
          <wp:positionH relativeFrom="column">
            <wp:posOffset>4051300</wp:posOffset>
          </wp:positionH>
          <wp:positionV relativeFrom="paragraph">
            <wp:posOffset>-56328</wp:posOffset>
          </wp:positionV>
          <wp:extent cx="2335530" cy="633095"/>
          <wp:effectExtent l="0" t="0" r="0" b="0"/>
          <wp:wrapNone/>
          <wp:docPr id="8" name="Picture 8"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2ED1" w14:textId="77777777" w:rsidR="00CC0CE7" w:rsidRDefault="00CC0CE7" w:rsidP="00FB1990">
      <w:pPr>
        <w:pStyle w:val="Spacer"/>
      </w:pPr>
      <w:r>
        <w:separator/>
      </w:r>
    </w:p>
    <w:p w14:paraId="55E8B39C" w14:textId="77777777" w:rsidR="00CC0CE7" w:rsidRDefault="00CC0CE7" w:rsidP="00FB1990">
      <w:pPr>
        <w:pStyle w:val="Spacer"/>
      </w:pPr>
    </w:p>
  </w:footnote>
  <w:footnote w:type="continuationSeparator" w:id="0">
    <w:p w14:paraId="5B3F3D8A" w14:textId="77777777" w:rsidR="00CC0CE7" w:rsidRDefault="00CC0CE7">
      <w:r>
        <w:continuationSeparator/>
      </w:r>
    </w:p>
    <w:p w14:paraId="2428B71E" w14:textId="77777777" w:rsidR="00CC0CE7" w:rsidRDefault="00CC0CE7"/>
    <w:p w14:paraId="4905C786" w14:textId="77777777" w:rsidR="00CC0CE7" w:rsidRDefault="00CC0C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5994" w14:textId="77777777" w:rsidR="00735BFF" w:rsidRDefault="00735BFF" w:rsidP="00C40EAE">
    <w:pPr>
      <w:pStyle w:val="Header"/>
      <w:jc w:val="right"/>
    </w:pPr>
    <w:r w:rsidRPr="00CD3498">
      <w:tab/>
      <w:t xml:space="preserve">Te Tari </w:t>
    </w:r>
    <w:proofErr w:type="spellStart"/>
    <w:r w:rsidRPr="00CD3498">
      <w:t>Taiwhenua</w:t>
    </w:r>
    <w:proofErr w:type="spellEnd"/>
  </w:p>
  <w:p w14:paraId="1A695903" w14:textId="77777777" w:rsidR="00735BFF" w:rsidRDefault="00735BFF" w:rsidP="00C40EA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E488" w14:textId="77777777" w:rsidR="003F52D2" w:rsidRDefault="003F52D2">
    <w:pPr>
      <w:pStyle w:val="Header"/>
    </w:pPr>
    <w:r>
      <w:rPr>
        <w:noProof/>
        <w:lang w:eastAsia="en-NZ"/>
      </w:rPr>
      <w:drawing>
        <wp:anchor distT="0" distB="0" distL="114300" distR="114300" simplePos="0" relativeHeight="251660288" behindDoc="0" locked="0" layoutInCell="1" allowOverlap="1" wp14:anchorId="2D3EEF20" wp14:editId="626856F8">
          <wp:simplePos x="0" y="0"/>
          <wp:positionH relativeFrom="page">
            <wp:align>center</wp:align>
          </wp:positionH>
          <wp:positionV relativeFrom="page">
            <wp:posOffset>294640</wp:posOffset>
          </wp:positionV>
          <wp:extent cx="6840000" cy="1566000"/>
          <wp:effectExtent l="0" t="0" r="0" b="0"/>
          <wp:wrapTopAndBottom/>
          <wp:docPr id="7" name="Picture 7"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157CDF"/>
    <w:multiLevelType w:val="hybridMultilevel"/>
    <w:tmpl w:val="A3DA5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89414D"/>
    <w:multiLevelType w:val="hybridMultilevel"/>
    <w:tmpl w:val="D7DA68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293B31"/>
    <w:multiLevelType w:val="hybridMultilevel"/>
    <w:tmpl w:val="116CC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4B71DB1"/>
    <w:multiLevelType w:val="hybridMultilevel"/>
    <w:tmpl w:val="92042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0" w15:restartNumberingAfterBreak="0">
    <w:nsid w:val="7DBD120D"/>
    <w:multiLevelType w:val="hybridMultilevel"/>
    <w:tmpl w:val="5B427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2"/>
  </w:num>
  <w:num w:numId="9">
    <w:abstractNumId w:val="14"/>
  </w:num>
  <w:num w:numId="10">
    <w:abstractNumId w:val="10"/>
  </w:num>
  <w:num w:numId="11">
    <w:abstractNumId w:val="23"/>
  </w:num>
  <w:num w:numId="12">
    <w:abstractNumId w:val="26"/>
  </w:num>
  <w:num w:numId="13">
    <w:abstractNumId w:val="28"/>
  </w:num>
  <w:num w:numId="14">
    <w:abstractNumId w:val="7"/>
  </w:num>
  <w:num w:numId="15">
    <w:abstractNumId w:val="12"/>
  </w:num>
  <w:num w:numId="16">
    <w:abstractNumId w:val="29"/>
  </w:num>
  <w:num w:numId="17">
    <w:abstractNumId w:val="27"/>
  </w:num>
  <w:num w:numId="18">
    <w:abstractNumId w:val="25"/>
  </w:num>
  <w:num w:numId="19">
    <w:abstractNumId w:val="18"/>
  </w:num>
  <w:num w:numId="20">
    <w:abstractNumId w:val="13"/>
  </w:num>
  <w:num w:numId="21">
    <w:abstractNumId w:val="9"/>
  </w:num>
  <w:num w:numId="22">
    <w:abstractNumId w:val="6"/>
  </w:num>
  <w:num w:numId="23">
    <w:abstractNumId w:val="11"/>
  </w:num>
  <w:num w:numId="24">
    <w:abstractNumId w:val="8"/>
  </w:num>
  <w:num w:numId="25">
    <w:abstractNumId w:val="21"/>
  </w:num>
  <w:num w:numId="26">
    <w:abstractNumId w:val="20"/>
  </w:num>
  <w:num w:numId="27">
    <w:abstractNumId w:val="23"/>
  </w:num>
  <w:num w:numId="28">
    <w:abstractNumId w:val="26"/>
  </w:num>
  <w:num w:numId="29">
    <w:abstractNumId w:val="23"/>
  </w:num>
  <w:num w:numId="30">
    <w:abstractNumId w:val="23"/>
  </w:num>
  <w:num w:numId="31">
    <w:abstractNumId w:val="26"/>
  </w:num>
  <w:num w:numId="32">
    <w:abstractNumId w:val="26"/>
  </w:num>
  <w:num w:numId="33">
    <w:abstractNumId w:val="26"/>
  </w:num>
  <w:num w:numId="34">
    <w:abstractNumId w:val="15"/>
  </w:num>
  <w:num w:numId="35">
    <w:abstractNumId w:val="30"/>
  </w:num>
  <w:num w:numId="36">
    <w:abstractNumId w:val="16"/>
  </w:num>
  <w:num w:numId="37">
    <w:abstractNumId w:val="17"/>
  </w:num>
  <w:num w:numId="38">
    <w:abstractNumId w:val="24"/>
  </w:num>
  <w:num w:numId="39">
    <w:abstractNumId w:val="26"/>
  </w:num>
  <w:num w:numId="4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16"/>
    <w:rsid w:val="00003360"/>
    <w:rsid w:val="00003FC7"/>
    <w:rsid w:val="00005919"/>
    <w:rsid w:val="00007C42"/>
    <w:rsid w:val="00015020"/>
    <w:rsid w:val="0001647B"/>
    <w:rsid w:val="00020010"/>
    <w:rsid w:val="00033CD6"/>
    <w:rsid w:val="00034673"/>
    <w:rsid w:val="00036671"/>
    <w:rsid w:val="00037226"/>
    <w:rsid w:val="000409E2"/>
    <w:rsid w:val="00044EA1"/>
    <w:rsid w:val="0004703F"/>
    <w:rsid w:val="00053D2A"/>
    <w:rsid w:val="00054574"/>
    <w:rsid w:val="0005649A"/>
    <w:rsid w:val="00063BB2"/>
    <w:rsid w:val="00065F18"/>
    <w:rsid w:val="00067005"/>
    <w:rsid w:val="00076035"/>
    <w:rsid w:val="00077013"/>
    <w:rsid w:val="0008288C"/>
    <w:rsid w:val="00091C3A"/>
    <w:rsid w:val="000966C6"/>
    <w:rsid w:val="000B4D31"/>
    <w:rsid w:val="000D61F6"/>
    <w:rsid w:val="000E3240"/>
    <w:rsid w:val="000E43F9"/>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7733E"/>
    <w:rsid w:val="00184C0F"/>
    <w:rsid w:val="001A5F55"/>
    <w:rsid w:val="001C0031"/>
    <w:rsid w:val="001C0C30"/>
    <w:rsid w:val="001C15EE"/>
    <w:rsid w:val="001D0111"/>
    <w:rsid w:val="001D30D4"/>
    <w:rsid w:val="001D7EAE"/>
    <w:rsid w:val="001E3565"/>
    <w:rsid w:val="001E64FC"/>
    <w:rsid w:val="001F0724"/>
    <w:rsid w:val="001F6B83"/>
    <w:rsid w:val="002007DF"/>
    <w:rsid w:val="00205FE8"/>
    <w:rsid w:val="00206BA3"/>
    <w:rsid w:val="002136B0"/>
    <w:rsid w:val="00215160"/>
    <w:rsid w:val="002224B4"/>
    <w:rsid w:val="00226D5E"/>
    <w:rsid w:val="002360F3"/>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0B6A"/>
    <w:rsid w:val="002B1CEB"/>
    <w:rsid w:val="002C71C6"/>
    <w:rsid w:val="002D3125"/>
    <w:rsid w:val="002D4F42"/>
    <w:rsid w:val="002E3FC4"/>
    <w:rsid w:val="002E563A"/>
    <w:rsid w:val="0030084C"/>
    <w:rsid w:val="003039E1"/>
    <w:rsid w:val="003106B7"/>
    <w:rsid w:val="003129BA"/>
    <w:rsid w:val="00312B29"/>
    <w:rsid w:val="003148FC"/>
    <w:rsid w:val="0031685D"/>
    <w:rsid w:val="00320CBF"/>
    <w:rsid w:val="0032132E"/>
    <w:rsid w:val="00330820"/>
    <w:rsid w:val="00331BD9"/>
    <w:rsid w:val="003465C8"/>
    <w:rsid w:val="0035028C"/>
    <w:rsid w:val="00361DC5"/>
    <w:rsid w:val="00361F75"/>
    <w:rsid w:val="0037016B"/>
    <w:rsid w:val="00370FC0"/>
    <w:rsid w:val="00373206"/>
    <w:rsid w:val="003737ED"/>
    <w:rsid w:val="00375B80"/>
    <w:rsid w:val="00377352"/>
    <w:rsid w:val="00382CDB"/>
    <w:rsid w:val="003A10DA"/>
    <w:rsid w:val="003A12C8"/>
    <w:rsid w:val="003A6FFE"/>
    <w:rsid w:val="003A7695"/>
    <w:rsid w:val="003B3A23"/>
    <w:rsid w:val="003B6592"/>
    <w:rsid w:val="003C14BF"/>
    <w:rsid w:val="003C772C"/>
    <w:rsid w:val="003D175D"/>
    <w:rsid w:val="003F1357"/>
    <w:rsid w:val="003F17A9"/>
    <w:rsid w:val="003F2B58"/>
    <w:rsid w:val="003F52D2"/>
    <w:rsid w:val="003F5886"/>
    <w:rsid w:val="0040020C"/>
    <w:rsid w:val="00401CA0"/>
    <w:rsid w:val="004021BE"/>
    <w:rsid w:val="0040700B"/>
    <w:rsid w:val="00407F54"/>
    <w:rsid w:val="00410084"/>
    <w:rsid w:val="00411341"/>
    <w:rsid w:val="00413966"/>
    <w:rsid w:val="00415015"/>
    <w:rsid w:val="00415CDB"/>
    <w:rsid w:val="004231DC"/>
    <w:rsid w:val="0042551E"/>
    <w:rsid w:val="00433AD8"/>
    <w:rsid w:val="00433F76"/>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18D1"/>
    <w:rsid w:val="004929F9"/>
    <w:rsid w:val="0049466D"/>
    <w:rsid w:val="00494C6F"/>
    <w:rsid w:val="004A18AF"/>
    <w:rsid w:val="004A5823"/>
    <w:rsid w:val="004B0AAF"/>
    <w:rsid w:val="004B214C"/>
    <w:rsid w:val="004B3924"/>
    <w:rsid w:val="004C4278"/>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0879"/>
    <w:rsid w:val="00533FAF"/>
    <w:rsid w:val="00535DF5"/>
    <w:rsid w:val="005366B6"/>
    <w:rsid w:val="00554BCD"/>
    <w:rsid w:val="00555F60"/>
    <w:rsid w:val="005605A5"/>
    <w:rsid w:val="00560B3C"/>
    <w:rsid w:val="00561A97"/>
    <w:rsid w:val="00563DAC"/>
    <w:rsid w:val="00567216"/>
    <w:rsid w:val="005675E0"/>
    <w:rsid w:val="00570A71"/>
    <w:rsid w:val="00570C00"/>
    <w:rsid w:val="00576AAA"/>
    <w:rsid w:val="0058206B"/>
    <w:rsid w:val="005848D3"/>
    <w:rsid w:val="00585690"/>
    <w:rsid w:val="00594AAA"/>
    <w:rsid w:val="00595B33"/>
    <w:rsid w:val="0059662F"/>
    <w:rsid w:val="00596858"/>
    <w:rsid w:val="005A2652"/>
    <w:rsid w:val="005A68AC"/>
    <w:rsid w:val="005B7254"/>
    <w:rsid w:val="005C28BA"/>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1D6B"/>
    <w:rsid w:val="00617298"/>
    <w:rsid w:val="0062513E"/>
    <w:rsid w:val="006336F1"/>
    <w:rsid w:val="00637753"/>
    <w:rsid w:val="00660CE4"/>
    <w:rsid w:val="00662716"/>
    <w:rsid w:val="0066273F"/>
    <w:rsid w:val="006713ED"/>
    <w:rsid w:val="00675B43"/>
    <w:rsid w:val="00676C9F"/>
    <w:rsid w:val="00677B13"/>
    <w:rsid w:val="00677F4E"/>
    <w:rsid w:val="00681A08"/>
    <w:rsid w:val="00685ECF"/>
    <w:rsid w:val="0068723C"/>
    <w:rsid w:val="006875B8"/>
    <w:rsid w:val="00687CEA"/>
    <w:rsid w:val="0069097E"/>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681C"/>
    <w:rsid w:val="006D7384"/>
    <w:rsid w:val="006E7BF7"/>
    <w:rsid w:val="00702F2C"/>
    <w:rsid w:val="007068C8"/>
    <w:rsid w:val="00715B8F"/>
    <w:rsid w:val="0073106E"/>
    <w:rsid w:val="00735BFF"/>
    <w:rsid w:val="00737813"/>
    <w:rsid w:val="00755142"/>
    <w:rsid w:val="00756BB7"/>
    <w:rsid w:val="0075764B"/>
    <w:rsid w:val="00760C01"/>
    <w:rsid w:val="00761293"/>
    <w:rsid w:val="00767C04"/>
    <w:rsid w:val="007736A2"/>
    <w:rsid w:val="00781B26"/>
    <w:rsid w:val="007A6226"/>
    <w:rsid w:val="007B07BF"/>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3626A"/>
    <w:rsid w:val="008428E8"/>
    <w:rsid w:val="00843D71"/>
    <w:rsid w:val="00846F11"/>
    <w:rsid w:val="0084745A"/>
    <w:rsid w:val="00857593"/>
    <w:rsid w:val="00860CE5"/>
    <w:rsid w:val="0086227E"/>
    <w:rsid w:val="00870045"/>
    <w:rsid w:val="00876E5F"/>
    <w:rsid w:val="00877819"/>
    <w:rsid w:val="00883B8D"/>
    <w:rsid w:val="00884A12"/>
    <w:rsid w:val="00890CE4"/>
    <w:rsid w:val="00891ED7"/>
    <w:rsid w:val="008A33B6"/>
    <w:rsid w:val="008B0D12"/>
    <w:rsid w:val="008B450F"/>
    <w:rsid w:val="008B7B54"/>
    <w:rsid w:val="008C026F"/>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64F3"/>
    <w:rsid w:val="009170B9"/>
    <w:rsid w:val="0091720A"/>
    <w:rsid w:val="00923A87"/>
    <w:rsid w:val="00927482"/>
    <w:rsid w:val="00936FF5"/>
    <w:rsid w:val="0094654B"/>
    <w:rsid w:val="0095112B"/>
    <w:rsid w:val="00952122"/>
    <w:rsid w:val="0095712A"/>
    <w:rsid w:val="009576D4"/>
    <w:rsid w:val="0096434B"/>
    <w:rsid w:val="00973A6D"/>
    <w:rsid w:val="009804E0"/>
    <w:rsid w:val="00983735"/>
    <w:rsid w:val="00984771"/>
    <w:rsid w:val="009865AA"/>
    <w:rsid w:val="00987080"/>
    <w:rsid w:val="0098765A"/>
    <w:rsid w:val="00987E5B"/>
    <w:rsid w:val="00991620"/>
    <w:rsid w:val="009968B0"/>
    <w:rsid w:val="009A6CB2"/>
    <w:rsid w:val="009B0982"/>
    <w:rsid w:val="009B4C99"/>
    <w:rsid w:val="009C13FB"/>
    <w:rsid w:val="009C42A8"/>
    <w:rsid w:val="009C6E83"/>
    <w:rsid w:val="009D28CF"/>
    <w:rsid w:val="009D546F"/>
    <w:rsid w:val="009E166E"/>
    <w:rsid w:val="009E40D1"/>
    <w:rsid w:val="009E5D36"/>
    <w:rsid w:val="009E6375"/>
    <w:rsid w:val="009E7CA0"/>
    <w:rsid w:val="00A01173"/>
    <w:rsid w:val="00A04392"/>
    <w:rsid w:val="00A069CE"/>
    <w:rsid w:val="00A109D8"/>
    <w:rsid w:val="00A16003"/>
    <w:rsid w:val="00A167D7"/>
    <w:rsid w:val="00A22302"/>
    <w:rsid w:val="00A23B5C"/>
    <w:rsid w:val="00A23D39"/>
    <w:rsid w:val="00A23EC2"/>
    <w:rsid w:val="00A24FBB"/>
    <w:rsid w:val="00A332E8"/>
    <w:rsid w:val="00A3453E"/>
    <w:rsid w:val="00A34F21"/>
    <w:rsid w:val="00A42ED2"/>
    <w:rsid w:val="00A44B33"/>
    <w:rsid w:val="00A47564"/>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095"/>
    <w:rsid w:val="00AD7A25"/>
    <w:rsid w:val="00AD7BF3"/>
    <w:rsid w:val="00AE2666"/>
    <w:rsid w:val="00AF3A5A"/>
    <w:rsid w:val="00AF3E15"/>
    <w:rsid w:val="00AF5218"/>
    <w:rsid w:val="00AF60A0"/>
    <w:rsid w:val="00B008BB"/>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0EEF"/>
    <w:rsid w:val="00B84323"/>
    <w:rsid w:val="00B84350"/>
    <w:rsid w:val="00B855A6"/>
    <w:rsid w:val="00B90EE6"/>
    <w:rsid w:val="00B91098"/>
    <w:rsid w:val="00B91904"/>
    <w:rsid w:val="00B92735"/>
    <w:rsid w:val="00B969ED"/>
    <w:rsid w:val="00BA77F1"/>
    <w:rsid w:val="00BB0D90"/>
    <w:rsid w:val="00BB3B51"/>
    <w:rsid w:val="00BB60C6"/>
    <w:rsid w:val="00BB7984"/>
    <w:rsid w:val="00BC1F07"/>
    <w:rsid w:val="00BC45F7"/>
    <w:rsid w:val="00BC6A06"/>
    <w:rsid w:val="00BD137C"/>
    <w:rsid w:val="00BE3BC7"/>
    <w:rsid w:val="00BF0C5F"/>
    <w:rsid w:val="00BF1AB7"/>
    <w:rsid w:val="00BF7FE9"/>
    <w:rsid w:val="00C001F8"/>
    <w:rsid w:val="00C03596"/>
    <w:rsid w:val="00C05EEC"/>
    <w:rsid w:val="00C15A13"/>
    <w:rsid w:val="00C238D9"/>
    <w:rsid w:val="00C24A9D"/>
    <w:rsid w:val="00C2677E"/>
    <w:rsid w:val="00C31542"/>
    <w:rsid w:val="00C32604"/>
    <w:rsid w:val="00C5028E"/>
    <w:rsid w:val="00C54E78"/>
    <w:rsid w:val="00C6078D"/>
    <w:rsid w:val="00C657CF"/>
    <w:rsid w:val="00C664A8"/>
    <w:rsid w:val="00C80D62"/>
    <w:rsid w:val="00C8388B"/>
    <w:rsid w:val="00C84944"/>
    <w:rsid w:val="00C90217"/>
    <w:rsid w:val="00C94EB2"/>
    <w:rsid w:val="00C9532B"/>
    <w:rsid w:val="00C96BFD"/>
    <w:rsid w:val="00C96C98"/>
    <w:rsid w:val="00CA5358"/>
    <w:rsid w:val="00CB1DCA"/>
    <w:rsid w:val="00CC0CE7"/>
    <w:rsid w:val="00CD502A"/>
    <w:rsid w:val="00CD6F1F"/>
    <w:rsid w:val="00CE0CC0"/>
    <w:rsid w:val="00CF0C77"/>
    <w:rsid w:val="00CF12CF"/>
    <w:rsid w:val="00CF4BE3"/>
    <w:rsid w:val="00CF583F"/>
    <w:rsid w:val="00CF6E64"/>
    <w:rsid w:val="00D060D2"/>
    <w:rsid w:val="00D13E2D"/>
    <w:rsid w:val="00D14394"/>
    <w:rsid w:val="00D242CD"/>
    <w:rsid w:val="00D26F74"/>
    <w:rsid w:val="00D341C3"/>
    <w:rsid w:val="00D35109"/>
    <w:rsid w:val="00D42843"/>
    <w:rsid w:val="00D43F10"/>
    <w:rsid w:val="00D43FDE"/>
    <w:rsid w:val="00D5152A"/>
    <w:rsid w:val="00D560EB"/>
    <w:rsid w:val="00D65145"/>
    <w:rsid w:val="00D73D87"/>
    <w:rsid w:val="00D74314"/>
    <w:rsid w:val="00D77451"/>
    <w:rsid w:val="00D81410"/>
    <w:rsid w:val="00D92385"/>
    <w:rsid w:val="00D92505"/>
    <w:rsid w:val="00DA267C"/>
    <w:rsid w:val="00DA27B3"/>
    <w:rsid w:val="00DA35E4"/>
    <w:rsid w:val="00DA5101"/>
    <w:rsid w:val="00DA62E8"/>
    <w:rsid w:val="00DA79EF"/>
    <w:rsid w:val="00DB0C0B"/>
    <w:rsid w:val="00DB3B74"/>
    <w:rsid w:val="00DC5870"/>
    <w:rsid w:val="00DD0384"/>
    <w:rsid w:val="00DD0901"/>
    <w:rsid w:val="00DD4AB0"/>
    <w:rsid w:val="00DD55FB"/>
    <w:rsid w:val="00DE16B6"/>
    <w:rsid w:val="00DE3323"/>
    <w:rsid w:val="00DE36CA"/>
    <w:rsid w:val="00DE7E63"/>
    <w:rsid w:val="00DF5AA8"/>
    <w:rsid w:val="00DF77A2"/>
    <w:rsid w:val="00E25159"/>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26B7"/>
    <w:rsid w:val="00E86D2A"/>
    <w:rsid w:val="00E8711A"/>
    <w:rsid w:val="00EA2ED4"/>
    <w:rsid w:val="00EA491A"/>
    <w:rsid w:val="00EA6AD8"/>
    <w:rsid w:val="00EB1583"/>
    <w:rsid w:val="00EB20B8"/>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250AB"/>
    <w:rsid w:val="00F337BF"/>
    <w:rsid w:val="00F33D14"/>
    <w:rsid w:val="00F473B6"/>
    <w:rsid w:val="00F52E57"/>
    <w:rsid w:val="00F53E06"/>
    <w:rsid w:val="00F54188"/>
    <w:rsid w:val="00F54CC0"/>
    <w:rsid w:val="00F727A5"/>
    <w:rsid w:val="00F847A9"/>
    <w:rsid w:val="00F9738E"/>
    <w:rsid w:val="00FA5FE9"/>
    <w:rsid w:val="00FA67D2"/>
    <w:rsid w:val="00FB1990"/>
    <w:rsid w:val="00FB302F"/>
    <w:rsid w:val="00FB5A92"/>
    <w:rsid w:val="00FC1C69"/>
    <w:rsid w:val="00FC3739"/>
    <w:rsid w:val="00FE2F6B"/>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C88DC"/>
  <w15:docId w15:val="{F8E2AE61-D19B-43D6-B189-C94A1E57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8B0D12"/>
    <w:pPr>
      <w:autoSpaceDE w:val="0"/>
      <w:autoSpaceDN w:val="0"/>
      <w:adjustRightInd w:val="0"/>
      <w:spacing w:before="0" w:after="0"/>
    </w:pPr>
    <w:rPr>
      <w:rFonts w:cs="Calibri"/>
      <w:color w:val="000000"/>
    </w:rPr>
  </w:style>
  <w:style w:type="paragraph" w:styleId="CommentText">
    <w:name w:val="annotation text"/>
    <w:basedOn w:val="Normal"/>
    <w:link w:val="CommentTextChar"/>
    <w:uiPriority w:val="99"/>
    <w:semiHidden/>
    <w:unhideWhenUsed/>
    <w:rsid w:val="0066273F"/>
    <w:rPr>
      <w:sz w:val="20"/>
      <w:szCs w:val="20"/>
    </w:rPr>
  </w:style>
  <w:style w:type="character" w:customStyle="1" w:styleId="CommentTextChar">
    <w:name w:val="Comment Text Char"/>
    <w:basedOn w:val="DefaultParagraphFont"/>
    <w:link w:val="CommentText"/>
    <w:uiPriority w:val="99"/>
    <w:semiHidden/>
    <w:rsid w:val="0066273F"/>
    <w:rPr>
      <w:sz w:val="20"/>
      <w:szCs w:val="20"/>
      <w:lang w:eastAsia="en-US"/>
    </w:rPr>
  </w:style>
  <w:style w:type="paragraph" w:styleId="CommentSubject">
    <w:name w:val="annotation subject"/>
    <w:basedOn w:val="CommentText"/>
    <w:next w:val="CommentText"/>
    <w:link w:val="CommentSubjectChar"/>
    <w:uiPriority w:val="99"/>
    <w:semiHidden/>
    <w:unhideWhenUsed/>
    <w:rsid w:val="0066273F"/>
    <w:rPr>
      <w:b/>
      <w:bCs/>
    </w:rPr>
  </w:style>
  <w:style w:type="character" w:customStyle="1" w:styleId="CommentSubjectChar">
    <w:name w:val="Comment Subject Char"/>
    <w:basedOn w:val="CommentTextChar"/>
    <w:link w:val="CommentSubject"/>
    <w:uiPriority w:val="99"/>
    <w:semiHidden/>
    <w:rsid w:val="0066273F"/>
    <w:rPr>
      <w:b/>
      <w:bCs/>
      <w:sz w:val="20"/>
      <w:szCs w:val="20"/>
      <w:lang w:eastAsia="en-US"/>
    </w:rPr>
  </w:style>
  <w:style w:type="paragraph" w:styleId="Revision">
    <w:name w:val="Revision"/>
    <w:hidden/>
    <w:uiPriority w:val="99"/>
    <w:semiHidden/>
    <w:rsid w:val="00B80EEF"/>
    <w:pPr>
      <w:spacing w:before="0"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627">
      <w:bodyDiv w:val="1"/>
      <w:marLeft w:val="0"/>
      <w:marRight w:val="0"/>
      <w:marTop w:val="0"/>
      <w:marBottom w:val="0"/>
      <w:divBdr>
        <w:top w:val="none" w:sz="0" w:space="0" w:color="auto"/>
        <w:left w:val="none" w:sz="0" w:space="0" w:color="auto"/>
        <w:bottom w:val="none" w:sz="0" w:space="0" w:color="auto"/>
        <w:right w:val="none" w:sz="0" w:space="0" w:color="auto"/>
      </w:divBdr>
    </w:div>
    <w:div w:id="247614265">
      <w:bodyDiv w:val="1"/>
      <w:marLeft w:val="0"/>
      <w:marRight w:val="0"/>
      <w:marTop w:val="0"/>
      <w:marBottom w:val="0"/>
      <w:divBdr>
        <w:top w:val="none" w:sz="0" w:space="0" w:color="auto"/>
        <w:left w:val="none" w:sz="0" w:space="0" w:color="auto"/>
        <w:bottom w:val="none" w:sz="0" w:space="0" w:color="auto"/>
        <w:right w:val="none" w:sz="0" w:space="0" w:color="auto"/>
      </w:divBdr>
    </w:div>
    <w:div w:id="488786335">
      <w:bodyDiv w:val="1"/>
      <w:marLeft w:val="0"/>
      <w:marRight w:val="0"/>
      <w:marTop w:val="0"/>
      <w:marBottom w:val="0"/>
      <w:divBdr>
        <w:top w:val="none" w:sz="0" w:space="0" w:color="auto"/>
        <w:left w:val="none" w:sz="0" w:space="0" w:color="auto"/>
        <w:bottom w:val="none" w:sz="0" w:space="0" w:color="auto"/>
        <w:right w:val="none" w:sz="0" w:space="0" w:color="auto"/>
      </w:divBdr>
    </w:div>
    <w:div w:id="796263823">
      <w:bodyDiv w:val="1"/>
      <w:marLeft w:val="0"/>
      <w:marRight w:val="0"/>
      <w:marTop w:val="0"/>
      <w:marBottom w:val="0"/>
      <w:divBdr>
        <w:top w:val="none" w:sz="0" w:space="0" w:color="auto"/>
        <w:left w:val="none" w:sz="0" w:space="0" w:color="auto"/>
        <w:bottom w:val="none" w:sz="0" w:space="0" w:color="auto"/>
        <w:right w:val="none" w:sz="0" w:space="0" w:color="auto"/>
      </w:divBdr>
    </w:div>
    <w:div w:id="1187596835">
      <w:bodyDiv w:val="1"/>
      <w:marLeft w:val="0"/>
      <w:marRight w:val="0"/>
      <w:marTop w:val="0"/>
      <w:marBottom w:val="0"/>
      <w:divBdr>
        <w:top w:val="none" w:sz="0" w:space="0" w:color="auto"/>
        <w:left w:val="none" w:sz="0" w:space="0" w:color="auto"/>
        <w:bottom w:val="none" w:sz="0" w:space="0" w:color="auto"/>
        <w:right w:val="none" w:sz="0" w:space="0" w:color="auto"/>
      </w:divBdr>
    </w:div>
    <w:div w:id="13726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4</Value>
      <Value>570</Value>
      <Value>199</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National Library</TermName>
          <TermId xmlns="http://schemas.microsoft.com/office/infopath/2007/PartnerControls">9351619d-2610-407e-b49d-c2a2063292e1</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4V7JHWUKMACF-1449644632-1090</_dlc_DocId>
    <_dlc_DocIdUrl xmlns="ce404f2c-b0eb-493e-ac64-5bd3de555ba4">
      <Url>https://dia.cohesion.net.nz/Sites/PEO/JDE/JDS/_layouts/15/DocIdRedir.aspx?ID=4V7JHWUKMACF-1449644632-1090</Url>
      <Description>4V7JHWUKMACF-1449644632-1090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18CE-5D36-4BA3-A8A0-27C28596925B}">
  <ds:schemaRefs>
    <ds:schemaRef ds:uri="http://purl.org/dc/terms/"/>
    <ds:schemaRef ds:uri="http://schemas.microsoft.com/office/2006/documentManagement/types"/>
    <ds:schemaRef ds:uri="ce404f2c-b0eb-493e-ac64-5bd3de555ba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9145C647-3C5D-4D48-9F5D-5E7BBA69D8D7}">
  <ds:schemaRefs>
    <ds:schemaRef ds:uri="http://schemas.microsoft.com/sharepoint/v3/contenttype/forms"/>
  </ds:schemaRefs>
</ds:datastoreItem>
</file>

<file path=customXml/itemProps3.xml><?xml version="1.0" encoding="utf-8"?>
<ds:datastoreItem xmlns:ds="http://schemas.openxmlformats.org/officeDocument/2006/customXml" ds:itemID="{F3AF681D-C5F0-430C-BD68-2CDDC46FD5C0}">
  <ds:schemaRefs>
    <ds:schemaRef ds:uri="http://schemas.microsoft.com/sharepoint/events"/>
  </ds:schemaRefs>
</ds:datastoreItem>
</file>

<file path=customXml/itemProps4.xml><?xml version="1.0" encoding="utf-8"?>
<ds:datastoreItem xmlns:ds="http://schemas.openxmlformats.org/officeDocument/2006/customXml" ds:itemID="{0406B3FE-42BC-4DAC-9B2B-D28DDBC31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0C2A7-994F-4271-955B-5800282A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Tui Te Hau</dc:creator>
  <cp:keywords/>
  <cp:lastModifiedBy>Helen Gray</cp:lastModifiedBy>
  <cp:revision>4</cp:revision>
  <cp:lastPrinted>2020-07-14T00:57:00Z</cp:lastPrinted>
  <dcterms:created xsi:type="dcterms:W3CDTF">2021-02-28T19:57:00Z</dcterms:created>
  <dcterms:modified xsi:type="dcterms:W3CDTF">2021-07-12T00:51:00Z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0x0101005496552013C0BA46BE88192D5C6EB20B0031F30CFD6B2244409318FB656FECFFE8001A478E0B5BBFAD48A5A10860D5F90F27</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570;#National Library|9351619d-2610-407e-b49d-c2a2063292e1</vt:lpwstr>
  </property>
  <property fmtid="{D5CDD505-2E9C-101B-9397-08002B2CF9AE}" pid="7" name="_dlc_DocIdItemGuid">
    <vt:lpwstr>2ef5c410-4e82-4a63-a4ea-7ce1f71bacbb</vt:lpwstr>
  </property>
  <property fmtid="{D5CDD505-2E9C-101B-9397-08002B2CF9AE}" pid="8" name="TaxKeyword">
    <vt:lpwstr/>
  </property>
  <property fmtid="{D5CDD505-2E9C-101B-9397-08002B2CF9AE}" pid="9" name="DIAAdministrationDocumentType">
    <vt:lpwstr/>
  </property>
  <property fmtid="{D5CDD505-2E9C-101B-9397-08002B2CF9AE}" pid="10" name="DIAMeetingDocumentType">
    <vt:lpwstr/>
  </property>
  <property fmtid="{D5CDD505-2E9C-101B-9397-08002B2CF9AE}" pid="11" name="fa525ba192404975a66fed9c22b2ead5">
    <vt:lpwstr/>
  </property>
  <property fmtid="{D5CDD505-2E9C-101B-9397-08002B2CF9AE}" pid="12" name="C3Topic">
    <vt:lpwstr/>
  </property>
  <property fmtid="{D5CDD505-2E9C-101B-9397-08002B2CF9AE}" pid="13" name="k637144f3e274b809739df325940a5b6">
    <vt:lpwstr/>
  </property>
  <property fmtid="{D5CDD505-2E9C-101B-9397-08002B2CF9AE}" pid="14" name="DIASecurityClassification">
    <vt:lpwstr>1;#UNCLASSIFIED|875d92a8-67e2-4a32-9472-8fe99549e1eb</vt:lpwstr>
  </property>
  <property fmtid="{D5CDD505-2E9C-101B-9397-08002B2CF9AE}" pid="15" name="DIAEmailContentType">
    <vt:lpwstr>4;#Correspondence|dcd6b05f-dc80-4336-b228-09aebf3d212c</vt:lpwstr>
  </property>
  <property fmtid="{D5CDD505-2E9C-101B-9397-08002B2CF9AE}" pid="16" name="_docset_NoMedatataSyncRequired">
    <vt:lpwstr>False</vt:lpwstr>
  </property>
</Properties>
</file>