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B5E51" w14:textId="77777777" w:rsidR="00E3093E" w:rsidRDefault="00E3093E" w:rsidP="00E3093E">
      <w:pPr>
        <w:spacing w:after="0" w:line="259" w:lineRule="auto"/>
      </w:pPr>
      <w:bookmarkStart w:id="0" w:name="_GoBack"/>
      <w:bookmarkEnd w:id="0"/>
      <w:r>
        <w:rPr>
          <w:rFonts w:eastAsia="Calibri" w:cs="Calibri"/>
          <w:b/>
          <w:color w:val="1F546B"/>
          <w:sz w:val="52"/>
        </w:rPr>
        <w:t xml:space="preserve">Graduate AML Regulator  </w:t>
      </w:r>
    </w:p>
    <w:p w14:paraId="56DB5E52" w14:textId="77777777" w:rsidR="001676BD" w:rsidRPr="001676BD" w:rsidRDefault="00E3093E" w:rsidP="001676BD">
      <w:pPr>
        <w:pStyle w:val="Heading2"/>
      </w:pPr>
      <w:r>
        <w:t>AML, Regulatory Services, PRC</w:t>
      </w:r>
    </w:p>
    <w:p w14:paraId="56DB5E53" w14:textId="77777777" w:rsidR="00E3093E" w:rsidRDefault="00E3093E" w:rsidP="00E3093E">
      <w:pPr>
        <w:pStyle w:val="Bullet"/>
        <w:numPr>
          <w:ilvl w:val="0"/>
          <w:numId w:val="0"/>
        </w:numPr>
      </w:pPr>
      <w:r>
        <w:t xml:space="preserve">As one of Government’s larger regulators, Regulatory Services aims to minimise harm and maximise benefits through effective oversight of anti-money laundering and countering financing terrorism, AML, anti- spam and censorship regulatory systems.  We are a responsive risk-based regulator that uses innovation and collaboration to maximise our impact to achieve desired outcomes for New Zealand communities. </w:t>
      </w:r>
    </w:p>
    <w:p w14:paraId="56DB5E54" w14:textId="77777777" w:rsidR="00E3093E" w:rsidRPr="00E3093E" w:rsidRDefault="00E3093E" w:rsidP="00E3093E">
      <w:pPr>
        <w:pStyle w:val="Bullet"/>
        <w:numPr>
          <w:ilvl w:val="0"/>
          <w:numId w:val="0"/>
        </w:numPr>
        <w:rPr>
          <w:b/>
          <w:color w:val="1F546B" w:themeColor="text2"/>
        </w:rPr>
      </w:pPr>
      <w:r>
        <w:t xml:space="preserve">The Graduate AML Regulator is a development role that contributes to the delivery of responsive, risk based approaches that ensure regulated communities understand their obligations and that DIA’s responsibilities are delivered to standard. The Graduate AML Regulator achieves this by having a drive to learn, develop and apply the skills to make well-informed decisions, and delivering targeted regulatory activity through a range of regulatory and supervisory activities and monitoring of our regulated/supervised sector. The Graduate AML Regulator is expected to work closely and learn from AML and Senior AML Regulators in their teams. </w:t>
      </w:r>
    </w:p>
    <w:p w14:paraId="56DB5E55" w14:textId="77777777" w:rsidR="001676BD" w:rsidRPr="005A2652" w:rsidRDefault="001676BD" w:rsidP="00E3093E">
      <w:pPr>
        <w:pStyle w:val="Bullet"/>
        <w:rPr>
          <w:rStyle w:val="BullethighlightedChar"/>
        </w:rPr>
      </w:pPr>
      <w:r w:rsidRPr="009E40D1">
        <w:rPr>
          <w:rStyle w:val="BullethighlightedChar"/>
        </w:rPr>
        <w:t>Reporting to</w:t>
      </w:r>
      <w:r>
        <w:t>:</w:t>
      </w:r>
      <w:r w:rsidR="00285621">
        <w:t xml:space="preserve"> </w:t>
      </w:r>
      <w:r w:rsidR="00E3093E">
        <w:t>Manager Operations</w:t>
      </w:r>
    </w:p>
    <w:p w14:paraId="56DB5E56" w14:textId="77777777" w:rsidR="001676BD" w:rsidRPr="005A2652" w:rsidRDefault="001676BD" w:rsidP="00E3093E">
      <w:pPr>
        <w:pStyle w:val="Bullethighlighted"/>
        <w:rPr>
          <w:rStyle w:val="BullethighlightedChar"/>
        </w:rPr>
      </w:pPr>
      <w:r w:rsidRPr="00285621">
        <w:t>Location:</w:t>
      </w:r>
      <w:r>
        <w:t xml:space="preserve"> </w:t>
      </w:r>
      <w:r w:rsidR="00E3093E" w:rsidRPr="00E3093E">
        <w:rPr>
          <w:b w:val="0"/>
          <w:color w:val="auto"/>
        </w:rPr>
        <w:t>Auckland or Wellington or Christchurch</w:t>
      </w:r>
    </w:p>
    <w:p w14:paraId="56DB5E57" w14:textId="77777777" w:rsidR="001676BD" w:rsidRPr="005A2652" w:rsidRDefault="001C15EE" w:rsidP="001676BD">
      <w:pPr>
        <w:pStyle w:val="Bullet"/>
        <w:rPr>
          <w:rStyle w:val="BullethighlightedChar"/>
        </w:rPr>
      </w:pPr>
      <w:r w:rsidRPr="009E40D1">
        <w:rPr>
          <w:rStyle w:val="BullethighlightedChar"/>
        </w:rPr>
        <w:t>Salary range</w:t>
      </w:r>
      <w:r>
        <w:t>:</w:t>
      </w:r>
      <w:r w:rsidR="00877819">
        <w:t xml:space="preserve"> </w:t>
      </w:r>
      <w:r w:rsidR="00E3093E">
        <w:t>Regulatory E</w:t>
      </w:r>
    </w:p>
    <w:p w14:paraId="56DB5E58" w14:textId="77777777" w:rsidR="001676BD" w:rsidRPr="001C15EE" w:rsidRDefault="001676BD" w:rsidP="001C15EE">
      <w:pPr>
        <w:pStyle w:val="Heading2withoverline"/>
      </w:pPr>
      <w:r w:rsidRPr="00B56D48">
        <w:t>What we do matters</w:t>
      </w:r>
      <w:r>
        <w:t xml:space="preserve"> – o</w:t>
      </w:r>
      <w:r w:rsidRPr="004573F5">
        <w:rPr>
          <w:szCs w:val="32"/>
        </w:rPr>
        <w:t>ur purpose</w:t>
      </w:r>
    </w:p>
    <w:p w14:paraId="56DB5E59" w14:textId="77777777" w:rsidR="005D6013" w:rsidRPr="00285621" w:rsidRDefault="00BF0C5F" w:rsidP="00285621">
      <w:r w:rsidRPr="00285621">
        <w:t>Our purpose is t</w:t>
      </w:r>
      <w:r w:rsidR="001676BD" w:rsidRPr="00285621">
        <w:t>o serve and connect people, communities and government to build a safe, prosperous and respected nation.</w:t>
      </w:r>
    </w:p>
    <w:p w14:paraId="56DB5E5A" w14:textId="77777777" w:rsidR="001676BD" w:rsidRPr="00285621" w:rsidRDefault="00BF0C5F" w:rsidP="00285621">
      <w:r w:rsidRPr="00285621">
        <w:t>In other words, it’s all about helping to make New Zealand better for New Zealanders.</w:t>
      </w:r>
    </w:p>
    <w:p w14:paraId="56DB5E5B" w14:textId="77777777"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56DB5E60" w14:textId="77777777" w:rsidTr="006336F1">
        <w:tc>
          <w:tcPr>
            <w:tcW w:w="1701" w:type="dxa"/>
            <w:vMerge w:val="restart"/>
          </w:tcPr>
          <w:p w14:paraId="56DB5E5C" w14:textId="77777777" w:rsidR="0046587F" w:rsidRDefault="0046587F" w:rsidP="0046587F">
            <w:pPr>
              <w:pStyle w:val="Tablenormal0"/>
              <w:ind w:left="-108"/>
            </w:pPr>
            <w:r>
              <w:rPr>
                <w:noProof/>
                <w:lang w:eastAsia="en-NZ"/>
              </w:rPr>
              <w:drawing>
                <wp:inline distT="0" distB="0" distL="0" distR="0" wp14:anchorId="56DB5F26" wp14:editId="56DB5F27">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56DB5E5D" w14:textId="77777777" w:rsidR="0046587F" w:rsidRPr="00DA62E8" w:rsidRDefault="0046587F" w:rsidP="00DA62E8">
            <w:pPr>
              <w:pStyle w:val="Heading3"/>
            </w:pPr>
            <w:r w:rsidRPr="00DA62E8">
              <w:t xml:space="preserve">We make it easy, we make it work </w:t>
            </w:r>
          </w:p>
          <w:p w14:paraId="56DB5E5E" w14:textId="77777777" w:rsidR="0046587F" w:rsidRPr="00DA62E8" w:rsidRDefault="0046587F" w:rsidP="00DA62E8">
            <w:pPr>
              <w:pStyle w:val="Tablebullet"/>
            </w:pPr>
            <w:r w:rsidRPr="00DA62E8">
              <w:t>Customer centred</w:t>
            </w:r>
          </w:p>
          <w:p w14:paraId="56DB5E5F" w14:textId="77777777" w:rsidR="0046587F" w:rsidRPr="00BF0C5F" w:rsidRDefault="0046587F" w:rsidP="00DA62E8">
            <w:pPr>
              <w:pStyle w:val="Tablebullet"/>
            </w:pPr>
            <w:r w:rsidRPr="00DA62E8">
              <w:t>Make things even better</w:t>
            </w:r>
          </w:p>
        </w:tc>
      </w:tr>
      <w:tr w:rsidR="0046587F" w14:paraId="56DB5E65" w14:textId="77777777" w:rsidTr="006336F1">
        <w:tc>
          <w:tcPr>
            <w:tcW w:w="1701" w:type="dxa"/>
            <w:vMerge/>
          </w:tcPr>
          <w:p w14:paraId="56DB5E61" w14:textId="77777777" w:rsidR="0046587F" w:rsidRDefault="0046587F" w:rsidP="00DA62E8">
            <w:pPr>
              <w:pStyle w:val="Tablenormal0"/>
            </w:pPr>
          </w:p>
        </w:tc>
        <w:tc>
          <w:tcPr>
            <w:tcW w:w="8557" w:type="dxa"/>
          </w:tcPr>
          <w:p w14:paraId="56DB5E62" w14:textId="77777777" w:rsidR="0046587F" w:rsidRPr="005D6013" w:rsidRDefault="0046587F" w:rsidP="00DA62E8">
            <w:pPr>
              <w:pStyle w:val="Heading3"/>
            </w:pPr>
            <w:r w:rsidRPr="005D6013">
              <w:t xml:space="preserve">We’re stronger together </w:t>
            </w:r>
          </w:p>
          <w:p w14:paraId="56DB5E63" w14:textId="77777777" w:rsidR="0046587F" w:rsidRPr="00DA62E8" w:rsidRDefault="0046587F" w:rsidP="00DA62E8">
            <w:pPr>
              <w:pStyle w:val="Tablebullet"/>
            </w:pPr>
            <w:r w:rsidRPr="00DA62E8">
              <w:t>Work as a team</w:t>
            </w:r>
          </w:p>
          <w:p w14:paraId="56DB5E64" w14:textId="77777777" w:rsidR="0046587F" w:rsidRPr="00BF0C5F" w:rsidRDefault="0046587F" w:rsidP="00DA62E8">
            <w:pPr>
              <w:pStyle w:val="Tablebullet"/>
            </w:pPr>
            <w:r w:rsidRPr="00DA62E8">
              <w:t>Value each other</w:t>
            </w:r>
          </w:p>
        </w:tc>
      </w:tr>
      <w:tr w:rsidR="0046587F" w14:paraId="56DB5E6A" w14:textId="77777777" w:rsidTr="006336F1">
        <w:tc>
          <w:tcPr>
            <w:tcW w:w="1701" w:type="dxa"/>
            <w:vMerge/>
          </w:tcPr>
          <w:p w14:paraId="56DB5E66" w14:textId="77777777" w:rsidR="0046587F" w:rsidRDefault="0046587F" w:rsidP="00DA62E8">
            <w:pPr>
              <w:pStyle w:val="Tablenormal0"/>
            </w:pPr>
          </w:p>
        </w:tc>
        <w:tc>
          <w:tcPr>
            <w:tcW w:w="8557" w:type="dxa"/>
          </w:tcPr>
          <w:p w14:paraId="56DB5E67" w14:textId="77777777" w:rsidR="0046587F" w:rsidRPr="005D6013" w:rsidRDefault="0046587F" w:rsidP="00DA62E8">
            <w:pPr>
              <w:pStyle w:val="Heading3"/>
            </w:pPr>
            <w:r w:rsidRPr="005D6013">
              <w:t xml:space="preserve">We take pride in what we do </w:t>
            </w:r>
          </w:p>
          <w:p w14:paraId="56DB5E68" w14:textId="77777777" w:rsidR="0046587F" w:rsidRPr="00DA62E8" w:rsidRDefault="0046587F" w:rsidP="00DA62E8">
            <w:pPr>
              <w:pStyle w:val="Tablebullet"/>
            </w:pPr>
            <w:r w:rsidRPr="00DA62E8">
              <w:t>Make a positive difference</w:t>
            </w:r>
          </w:p>
          <w:p w14:paraId="56DB5E69" w14:textId="77777777" w:rsidR="0046587F" w:rsidRPr="00BF0C5F" w:rsidRDefault="0046587F" w:rsidP="00DA62E8">
            <w:pPr>
              <w:pStyle w:val="Tablebullet"/>
            </w:pPr>
            <w:r w:rsidRPr="00DA62E8">
              <w:t>Strive for excellence</w:t>
            </w:r>
          </w:p>
        </w:tc>
      </w:tr>
    </w:tbl>
    <w:p w14:paraId="56DB5E6B" w14:textId="77777777" w:rsidR="00535DF5" w:rsidRPr="00767FB1" w:rsidRDefault="00535DF5" w:rsidP="00285621">
      <w:pPr>
        <w:pStyle w:val="Heading2withoverline"/>
      </w:pPr>
      <w:r w:rsidRPr="00767FB1">
        <w:lastRenderedPageBreak/>
        <w:t xml:space="preserve">Working </w:t>
      </w:r>
      <w:r w:rsidR="001E3565">
        <w:t xml:space="preserve">effectively </w:t>
      </w:r>
      <w:r w:rsidRPr="00767FB1">
        <w:t xml:space="preserve">with </w:t>
      </w:r>
      <w:r w:rsidRPr="00535DF5">
        <w:t>Māori</w:t>
      </w:r>
    </w:p>
    <w:p w14:paraId="56DB5E6C" w14:textId="77777777" w:rsidR="0056672E" w:rsidRDefault="0056672E" w:rsidP="0056672E">
      <w:r>
        <w:t>Te Aka Taiwhenua – our Māori Strategic Framework – enables us to work effectively with Māori. Te Aka Taiwhenua is underpinned by our mātāpono – Kotahitanga, Manaakitanga, Whānaungatanga, He Tāngata.</w:t>
      </w:r>
    </w:p>
    <w:p w14:paraId="56DB5E6D" w14:textId="77777777" w:rsidR="00DA62E8" w:rsidRDefault="0056672E">
      <w:r>
        <w:t>As DIA is an agent of the Crown, Te Tiriti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Tiriti o Waitangi.</w:t>
      </w:r>
    </w:p>
    <w:p w14:paraId="56DB5E6E" w14:textId="77777777" w:rsidR="006713ED" w:rsidRDefault="006713ED" w:rsidP="00DA62E8">
      <w:pPr>
        <w:pStyle w:val="Tinyline"/>
      </w:pPr>
    </w:p>
    <w:p w14:paraId="56DB5E6F" w14:textId="77777777"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812"/>
        <w:gridCol w:w="3935"/>
      </w:tblGrid>
      <w:tr w:rsidR="001C15EE" w:rsidRPr="006B2693" w14:paraId="56DB5E72" w14:textId="77777777" w:rsidTr="003D175D">
        <w:trPr>
          <w:cantSplit/>
          <w:tblHeader/>
        </w:trPr>
        <w:tc>
          <w:tcPr>
            <w:tcW w:w="5812" w:type="dxa"/>
            <w:tcBorders>
              <w:bottom w:val="nil"/>
              <w:right w:val="single" w:sz="6" w:space="0" w:color="FFFFFF" w:themeColor="background1"/>
            </w:tcBorders>
            <w:shd w:val="clear" w:color="auto" w:fill="1F546B" w:themeFill="text2"/>
          </w:tcPr>
          <w:p w14:paraId="56DB5E70" w14:textId="77777777"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935" w:type="dxa"/>
            <w:tcBorders>
              <w:left w:val="single" w:sz="6" w:space="0" w:color="FFFFFF" w:themeColor="background1"/>
              <w:bottom w:val="nil"/>
            </w:tcBorders>
            <w:shd w:val="clear" w:color="auto" w:fill="1F546B" w:themeFill="text2"/>
          </w:tcPr>
          <w:p w14:paraId="56DB5E71" w14:textId="77777777" w:rsidR="001C15EE" w:rsidRPr="006B2693" w:rsidRDefault="006B2693" w:rsidP="008023C3">
            <w:pPr>
              <w:pStyle w:val="Tableheading"/>
            </w:pPr>
            <w:r w:rsidRPr="006B2693">
              <w:t>As a result we will see</w:t>
            </w:r>
          </w:p>
        </w:tc>
      </w:tr>
      <w:tr w:rsidR="003D175D" w:rsidRPr="003D175D" w14:paraId="56DB5E7D" w14:textId="77777777" w:rsidTr="003D175D">
        <w:trPr>
          <w:cantSplit/>
        </w:trPr>
        <w:tc>
          <w:tcPr>
            <w:tcW w:w="5812" w:type="dxa"/>
            <w:tcBorders>
              <w:top w:val="nil"/>
              <w:left w:val="nil"/>
              <w:bottom w:val="single" w:sz="6" w:space="0" w:color="1F546B" w:themeColor="text2"/>
              <w:right w:val="single" w:sz="6" w:space="0" w:color="1F546B" w:themeColor="text2"/>
            </w:tcBorders>
          </w:tcPr>
          <w:p w14:paraId="56DB5E73" w14:textId="77777777" w:rsidR="00E3093E" w:rsidRDefault="00E3093E" w:rsidP="00E3093E">
            <w:pPr>
              <w:spacing w:before="0" w:after="0" w:line="259" w:lineRule="auto"/>
              <w:ind w:left="114"/>
            </w:pPr>
            <w:r>
              <w:rPr>
                <w:rFonts w:eastAsia="Calibri" w:cs="Calibri"/>
                <w:b/>
              </w:rPr>
              <w:t xml:space="preserve">Administrative and process support </w:t>
            </w:r>
          </w:p>
          <w:p w14:paraId="56DB5E74" w14:textId="77777777" w:rsidR="00E3093E" w:rsidRDefault="00E3093E" w:rsidP="00E3093E">
            <w:pPr>
              <w:pStyle w:val="Tablebullet"/>
              <w:spacing w:before="0" w:after="0"/>
            </w:pPr>
            <w:r>
              <w:t xml:space="preserve">Provide general administrative assistance to support the Operations Team, Managers and wider Directorate  </w:t>
            </w:r>
          </w:p>
          <w:p w14:paraId="56DB5E75" w14:textId="77777777" w:rsidR="00E3093E" w:rsidRDefault="00E3093E" w:rsidP="00E3093E">
            <w:pPr>
              <w:pStyle w:val="Tablebullet"/>
              <w:spacing w:before="0" w:after="0"/>
            </w:pPr>
            <w:r>
              <w:t xml:space="preserve">Provide data entry support to enable efficient and effective workflow management and reporting for the team  </w:t>
            </w:r>
          </w:p>
          <w:p w14:paraId="56DB5E76" w14:textId="77777777" w:rsidR="00E3093E" w:rsidRDefault="00E3093E" w:rsidP="00E3093E">
            <w:pPr>
              <w:pStyle w:val="Tablebullet"/>
              <w:spacing w:before="0" w:after="0"/>
            </w:pPr>
            <w:r>
              <w:t xml:space="preserve">Support the development, maintenance, and improvement of systems and processes. </w:t>
            </w:r>
          </w:p>
          <w:p w14:paraId="56DB5E77" w14:textId="77777777" w:rsidR="00E3093E" w:rsidRDefault="00E3093E" w:rsidP="00E3093E">
            <w:pPr>
              <w:pStyle w:val="Tablebullet"/>
              <w:spacing w:before="0" w:after="0"/>
            </w:pPr>
            <w:r>
              <w:t xml:space="preserve">Manage purchasing and travel bookings </w:t>
            </w:r>
          </w:p>
          <w:p w14:paraId="56DB5E78" w14:textId="77777777" w:rsidR="003D175D" w:rsidRPr="003D175D" w:rsidRDefault="00E3093E" w:rsidP="00E3093E">
            <w:pPr>
              <w:pStyle w:val="Tablebullet"/>
              <w:spacing w:before="0" w:after="0"/>
            </w:pPr>
            <w:r>
              <w:t xml:space="preserve">Assist with recruitment or other tasks as required in response to changing needs of the Operations Team and Managers   </w:t>
            </w:r>
          </w:p>
        </w:tc>
        <w:tc>
          <w:tcPr>
            <w:tcW w:w="3935" w:type="dxa"/>
            <w:tcBorders>
              <w:top w:val="nil"/>
              <w:left w:val="single" w:sz="6" w:space="0" w:color="1F546B" w:themeColor="text2"/>
              <w:bottom w:val="single" w:sz="6" w:space="0" w:color="1F546B" w:themeColor="text2"/>
              <w:right w:val="nil"/>
            </w:tcBorders>
          </w:tcPr>
          <w:p w14:paraId="56DB5E79" w14:textId="77777777" w:rsidR="00E3093E" w:rsidRDefault="00E3093E" w:rsidP="00E3093E">
            <w:pPr>
              <w:pStyle w:val="Tablebullet"/>
              <w:spacing w:before="0" w:after="0"/>
            </w:pPr>
            <w:r>
              <w:t xml:space="preserve">Administrative needs of the team are anticipated and completed in timely and efficient manner </w:t>
            </w:r>
          </w:p>
          <w:p w14:paraId="56DB5E7A" w14:textId="77777777" w:rsidR="00E3093E" w:rsidRDefault="00E3093E" w:rsidP="00E3093E">
            <w:pPr>
              <w:pStyle w:val="Tablebullet"/>
              <w:spacing w:before="0" w:after="0"/>
            </w:pPr>
            <w:r>
              <w:t xml:space="preserve">Systems and process are well supported, and opportunities for improvement identified and implemented where appropriate. </w:t>
            </w:r>
          </w:p>
          <w:p w14:paraId="56DB5E7B" w14:textId="77777777" w:rsidR="00E3093E" w:rsidRDefault="00E3093E" w:rsidP="00E3093E">
            <w:pPr>
              <w:pStyle w:val="Tablebullet"/>
              <w:spacing w:before="0" w:after="0"/>
            </w:pPr>
            <w:r>
              <w:t xml:space="preserve">Accurate data entry and strong information management practices </w:t>
            </w:r>
          </w:p>
          <w:p w14:paraId="56DB5E7C" w14:textId="77777777" w:rsidR="003D175D" w:rsidRPr="003D175D" w:rsidRDefault="00E3093E" w:rsidP="00E3093E">
            <w:pPr>
              <w:pStyle w:val="Tablebullet"/>
              <w:spacing w:before="0" w:after="0"/>
            </w:pPr>
            <w:r>
              <w:t xml:space="preserve">Effective workflow management and the ability to respond to fluctuating demand with agility and flexibility   </w:t>
            </w:r>
          </w:p>
        </w:tc>
      </w:tr>
      <w:tr w:rsidR="003D175D" w:rsidRPr="003D175D" w14:paraId="56DB5E8F" w14:textId="77777777" w:rsidTr="003D175D">
        <w:trPr>
          <w:cantSplit/>
        </w:trPr>
        <w:tc>
          <w:tcPr>
            <w:tcW w:w="5812" w:type="dxa"/>
            <w:tcBorders>
              <w:top w:val="nil"/>
              <w:left w:val="nil"/>
              <w:bottom w:val="single" w:sz="6" w:space="0" w:color="1F546B" w:themeColor="text2"/>
              <w:right w:val="single" w:sz="6" w:space="0" w:color="1F546B" w:themeColor="text2"/>
            </w:tcBorders>
          </w:tcPr>
          <w:p w14:paraId="56DB5E7E" w14:textId="77777777" w:rsidR="00E3093E" w:rsidRDefault="00E3093E" w:rsidP="00E3093E">
            <w:pPr>
              <w:spacing w:before="0" w:after="0" w:line="259" w:lineRule="auto"/>
              <w:ind w:left="116"/>
            </w:pPr>
            <w:r>
              <w:rPr>
                <w:rFonts w:eastAsia="Calibri" w:cs="Calibri"/>
                <w:b/>
              </w:rPr>
              <w:lastRenderedPageBreak/>
              <w:t xml:space="preserve">Delivering Responsive Risk based Regulatory activities </w:t>
            </w:r>
          </w:p>
          <w:p w14:paraId="56DB5E7F" w14:textId="77777777" w:rsidR="00E3093E" w:rsidRDefault="00E3093E" w:rsidP="00E3093E">
            <w:pPr>
              <w:pStyle w:val="Tablebullet"/>
              <w:spacing w:before="0" w:after="0"/>
            </w:pPr>
            <w:r>
              <w:t xml:space="preserve">Provide information and advice to educate and inform the sector and public to support compliance and encourage best practice in the sector    </w:t>
            </w:r>
          </w:p>
          <w:p w14:paraId="56DB5E80" w14:textId="77777777" w:rsidR="00E3093E" w:rsidRDefault="00E3093E" w:rsidP="00E3093E">
            <w:pPr>
              <w:pStyle w:val="Tablebullet"/>
              <w:spacing w:before="0" w:after="0"/>
            </w:pPr>
            <w:r>
              <w:t xml:space="preserve">Manage and record inward and outward correspondence from public email inboxes  </w:t>
            </w:r>
          </w:p>
          <w:p w14:paraId="56DB5E81" w14:textId="77777777" w:rsidR="00E3093E" w:rsidRDefault="00E3093E" w:rsidP="00E3093E">
            <w:pPr>
              <w:pStyle w:val="Tablebullet"/>
              <w:spacing w:before="0" w:after="0"/>
            </w:pPr>
            <w:r>
              <w:t xml:space="preserve">Undertake consideration of applications and documentation from stakeholders to assess compliance with statutory requirements  </w:t>
            </w:r>
          </w:p>
          <w:p w14:paraId="56DB5E82" w14:textId="77777777" w:rsidR="00E3093E" w:rsidRDefault="00E3093E" w:rsidP="00E3093E">
            <w:pPr>
              <w:pStyle w:val="Tablebullet"/>
              <w:spacing w:before="0" w:after="0"/>
            </w:pPr>
            <w:r>
              <w:t xml:space="preserve">Apply best practice in regulatory activities </w:t>
            </w:r>
          </w:p>
          <w:p w14:paraId="56DB5E83" w14:textId="77777777" w:rsidR="00E3093E" w:rsidRDefault="00E3093E" w:rsidP="00E3093E">
            <w:pPr>
              <w:pStyle w:val="Tablebullet"/>
              <w:spacing w:before="0" w:after="0"/>
            </w:pPr>
            <w:r>
              <w:t xml:space="preserve">Deliver evidence based, thorough and timely recommendations regarding licensing and other regulatory initiatives </w:t>
            </w:r>
          </w:p>
          <w:p w14:paraId="56DB5E84" w14:textId="77777777" w:rsidR="00E3093E" w:rsidRDefault="00E3093E" w:rsidP="00E3093E">
            <w:pPr>
              <w:pStyle w:val="Tablebullet"/>
              <w:spacing w:before="0" w:after="0"/>
            </w:pPr>
            <w:r>
              <w:t xml:space="preserve">Provide assistance and support to other teams in the Directorate as required and actively seek out opportunities to learn about risk modern regulatory practice  </w:t>
            </w:r>
          </w:p>
          <w:p w14:paraId="56DB5E85" w14:textId="77777777" w:rsidR="00E3093E" w:rsidRDefault="00E3093E" w:rsidP="00E3093E">
            <w:pPr>
              <w:pStyle w:val="Tablebullet"/>
              <w:spacing w:before="0" w:after="0"/>
            </w:pPr>
            <w:r>
              <w:t xml:space="preserve">Know when to escalate enquiries as appropriate and actively engage with team to grow own knowledge and skills  </w:t>
            </w:r>
          </w:p>
          <w:p w14:paraId="56DB5E86" w14:textId="77777777" w:rsidR="00E3093E" w:rsidRDefault="00E3093E" w:rsidP="00E3093E">
            <w:pPr>
              <w:pStyle w:val="Tablebullet"/>
              <w:spacing w:before="0" w:after="0"/>
            </w:pPr>
            <w:r>
              <w:t xml:space="preserve">Contribute to projects, business planning and improvement, focusing on key objectives and outcomes and making the best use of available resources </w:t>
            </w:r>
          </w:p>
          <w:p w14:paraId="56DB5E87" w14:textId="77777777" w:rsidR="003D175D" w:rsidRPr="003D175D" w:rsidRDefault="00E3093E" w:rsidP="00E3093E">
            <w:pPr>
              <w:pStyle w:val="Tablebullet"/>
              <w:spacing w:before="0" w:after="0"/>
            </w:pPr>
            <w:r>
              <w:t xml:space="preserve">Undertake team work in order to ensure delivery against individual and team work programmes  </w:t>
            </w:r>
          </w:p>
        </w:tc>
        <w:tc>
          <w:tcPr>
            <w:tcW w:w="3935" w:type="dxa"/>
            <w:tcBorders>
              <w:top w:val="nil"/>
              <w:left w:val="single" w:sz="6" w:space="0" w:color="1F546B" w:themeColor="text2"/>
              <w:bottom w:val="single" w:sz="6" w:space="0" w:color="1F546B" w:themeColor="text2"/>
              <w:right w:val="nil"/>
            </w:tcBorders>
          </w:tcPr>
          <w:p w14:paraId="56DB5E88" w14:textId="77777777" w:rsidR="00E3093E" w:rsidRDefault="00E3093E" w:rsidP="00E3093E">
            <w:pPr>
              <w:pStyle w:val="Tablebullet"/>
              <w:spacing w:before="0" w:after="0"/>
            </w:pPr>
            <w:r>
              <w:t xml:space="preserve">The Sector and public are provided with timely and accurate information and advice. </w:t>
            </w:r>
          </w:p>
          <w:p w14:paraId="56DB5E89" w14:textId="77777777" w:rsidR="00E3093E" w:rsidRDefault="00E3093E" w:rsidP="00E3093E">
            <w:pPr>
              <w:pStyle w:val="Tablebullet"/>
              <w:spacing w:before="0" w:after="0"/>
            </w:pPr>
            <w:r>
              <w:t xml:space="preserve">Robust assessments of compliance, integrity and suitability of sector participants. </w:t>
            </w:r>
          </w:p>
          <w:p w14:paraId="56DB5E8A" w14:textId="77777777" w:rsidR="00E3093E" w:rsidRDefault="00E3093E" w:rsidP="00E3093E">
            <w:pPr>
              <w:pStyle w:val="Tablebullet"/>
              <w:spacing w:before="0" w:after="0"/>
            </w:pPr>
            <w:r>
              <w:t xml:space="preserve">Strong evidence based decisions  </w:t>
            </w:r>
          </w:p>
          <w:p w14:paraId="56DB5E8B" w14:textId="77777777" w:rsidR="00E3093E" w:rsidRDefault="00E3093E" w:rsidP="00E3093E">
            <w:pPr>
              <w:pStyle w:val="Tablebullet"/>
              <w:spacing w:before="0" w:after="0"/>
            </w:pPr>
            <w:r>
              <w:t xml:space="preserve">Supportive team with agility to meet changing nature of workflow </w:t>
            </w:r>
          </w:p>
          <w:p w14:paraId="56DB5E8C" w14:textId="77777777" w:rsidR="00E3093E" w:rsidRDefault="00E3093E" w:rsidP="00E3093E">
            <w:pPr>
              <w:pStyle w:val="Tablebullet"/>
              <w:spacing w:before="0" w:after="0"/>
            </w:pPr>
            <w:r>
              <w:t xml:space="preserve">Efficient and effective processes, procedures and workflow management   </w:t>
            </w:r>
          </w:p>
          <w:p w14:paraId="56DB5E8D" w14:textId="77777777" w:rsidR="00E3093E" w:rsidRDefault="00E3093E" w:rsidP="00E3093E">
            <w:pPr>
              <w:pStyle w:val="Tablebullet"/>
              <w:spacing w:before="0" w:after="0"/>
            </w:pPr>
            <w:r>
              <w:t xml:space="preserve">Service delivery ethic </w:t>
            </w:r>
          </w:p>
          <w:p w14:paraId="56DB5E8E" w14:textId="77777777" w:rsidR="003D175D" w:rsidRPr="003D175D" w:rsidRDefault="00E3093E" w:rsidP="00E3093E">
            <w:pPr>
              <w:pStyle w:val="Tablebullet"/>
              <w:spacing w:before="0" w:after="0"/>
            </w:pPr>
            <w:r>
              <w:t>Improved staff knowledge and skills to deliver responsive risk based regulatory activities</w:t>
            </w:r>
          </w:p>
        </w:tc>
      </w:tr>
      <w:tr w:rsidR="003D175D" w:rsidRPr="003D175D" w14:paraId="56DB5E99" w14:textId="77777777" w:rsidTr="003D175D">
        <w:trPr>
          <w:cantSplit/>
        </w:trPr>
        <w:tc>
          <w:tcPr>
            <w:tcW w:w="5812" w:type="dxa"/>
            <w:tcBorders>
              <w:top w:val="nil"/>
              <w:left w:val="nil"/>
              <w:bottom w:val="single" w:sz="6" w:space="0" w:color="1F546B" w:themeColor="text2"/>
              <w:right w:val="single" w:sz="6" w:space="0" w:color="1F546B" w:themeColor="text2"/>
            </w:tcBorders>
          </w:tcPr>
          <w:p w14:paraId="56DB5E90" w14:textId="77777777" w:rsidR="00E3093E" w:rsidRDefault="00E3093E" w:rsidP="00E3093E">
            <w:pPr>
              <w:spacing w:before="0" w:after="0" w:line="259" w:lineRule="auto"/>
            </w:pPr>
            <w:r>
              <w:rPr>
                <w:rFonts w:eastAsia="Calibri" w:cs="Calibri"/>
                <w:b/>
              </w:rPr>
              <w:t xml:space="preserve">Relationship Management and Communications </w:t>
            </w:r>
          </w:p>
          <w:p w14:paraId="56DB5E91" w14:textId="77777777" w:rsidR="00E3093E" w:rsidRDefault="00E3093E" w:rsidP="00E3093E">
            <w:pPr>
              <w:pStyle w:val="Tablebullet"/>
              <w:spacing w:before="0" w:after="0"/>
            </w:pPr>
            <w:r>
              <w:t xml:space="preserve">Build and maintain effective relationships with stakeholders to learn about the sector, and appropriately influence best practice  </w:t>
            </w:r>
          </w:p>
          <w:p w14:paraId="56DB5E92" w14:textId="77777777" w:rsidR="00E3093E" w:rsidRDefault="00E3093E" w:rsidP="00E3093E">
            <w:pPr>
              <w:pStyle w:val="Tablebullet"/>
              <w:spacing w:before="0" w:after="0"/>
            </w:pPr>
            <w:r>
              <w:t xml:space="preserve">Engage positively and build relationships within the team, Directorate and across the wider Regulatory Services Group in order to share information and learn  </w:t>
            </w:r>
          </w:p>
          <w:p w14:paraId="56DB5E93" w14:textId="77777777" w:rsidR="00E3093E" w:rsidRDefault="00E3093E" w:rsidP="00E3093E">
            <w:pPr>
              <w:pStyle w:val="Tablebullet"/>
              <w:spacing w:before="0" w:after="0"/>
            </w:pPr>
            <w:r>
              <w:t xml:space="preserve">Produce, coordinate, maintain and distribute appropriate communication and information, including newsletters, emails and web pages. </w:t>
            </w:r>
          </w:p>
          <w:p w14:paraId="56DB5E94" w14:textId="77777777" w:rsidR="003D175D" w:rsidRPr="003D175D" w:rsidRDefault="00E3093E" w:rsidP="00E3093E">
            <w:pPr>
              <w:pStyle w:val="Tablebullet"/>
              <w:spacing w:before="0" w:after="0"/>
            </w:pPr>
            <w:r>
              <w:t xml:space="preserve">Demonstrate sensitivity to business stakeholders where cultural differences or language barriers are present.  </w:t>
            </w:r>
          </w:p>
        </w:tc>
        <w:tc>
          <w:tcPr>
            <w:tcW w:w="3935" w:type="dxa"/>
            <w:tcBorders>
              <w:top w:val="nil"/>
              <w:left w:val="single" w:sz="6" w:space="0" w:color="1F546B" w:themeColor="text2"/>
              <w:bottom w:val="single" w:sz="6" w:space="0" w:color="1F546B" w:themeColor="text2"/>
              <w:right w:val="nil"/>
            </w:tcBorders>
          </w:tcPr>
          <w:p w14:paraId="56DB5E95" w14:textId="77777777" w:rsidR="00E3093E" w:rsidRDefault="00E3093E" w:rsidP="00E3093E">
            <w:pPr>
              <w:pStyle w:val="Tablebullet"/>
              <w:spacing w:before="0" w:after="0"/>
            </w:pPr>
            <w:r>
              <w:t xml:space="preserve">Effective working relationships with internal and external stakeholders </w:t>
            </w:r>
          </w:p>
          <w:p w14:paraId="56DB5E96" w14:textId="77777777" w:rsidR="00E3093E" w:rsidRDefault="00E3093E" w:rsidP="00E3093E">
            <w:pPr>
              <w:pStyle w:val="Tablebullet"/>
              <w:spacing w:before="0" w:after="0"/>
            </w:pPr>
            <w:r>
              <w:t xml:space="preserve">Sector stakeholders report that they receive good information on how to meet their responsibilities and engage in best practice   </w:t>
            </w:r>
          </w:p>
          <w:p w14:paraId="56DB5E97" w14:textId="77777777" w:rsidR="00E3093E" w:rsidRDefault="00E3093E" w:rsidP="00E3093E">
            <w:pPr>
              <w:pStyle w:val="Tablebullet"/>
              <w:spacing w:before="0" w:after="0"/>
            </w:pPr>
            <w:r>
              <w:t xml:space="preserve">Staff provides knowledgeable responses to better educate the sector and demonstrate an understanding of Sector issues.      </w:t>
            </w:r>
          </w:p>
          <w:p w14:paraId="56DB5E98" w14:textId="77777777" w:rsidR="003D175D" w:rsidRPr="003D175D" w:rsidRDefault="00E3093E" w:rsidP="00E3093E">
            <w:pPr>
              <w:pStyle w:val="Tablebullet"/>
              <w:spacing w:before="0" w:after="0"/>
            </w:pPr>
            <w:r>
              <w:t xml:space="preserve">Information is accessible by a diverse range of sector groups </w:t>
            </w:r>
          </w:p>
        </w:tc>
      </w:tr>
      <w:tr w:rsidR="00E3093E" w:rsidRPr="003D175D" w14:paraId="56DB5E9E" w14:textId="77777777" w:rsidTr="003D175D">
        <w:trPr>
          <w:cantSplit/>
        </w:trPr>
        <w:tc>
          <w:tcPr>
            <w:tcW w:w="5812" w:type="dxa"/>
            <w:tcBorders>
              <w:top w:val="nil"/>
              <w:left w:val="nil"/>
              <w:bottom w:val="single" w:sz="6" w:space="0" w:color="1F546B" w:themeColor="text2"/>
              <w:right w:val="single" w:sz="6" w:space="0" w:color="1F546B" w:themeColor="text2"/>
            </w:tcBorders>
          </w:tcPr>
          <w:p w14:paraId="56DB5E9A" w14:textId="77777777" w:rsidR="00E3093E" w:rsidRDefault="00E3093E" w:rsidP="00E3093E">
            <w:pPr>
              <w:spacing w:before="0" w:after="0" w:line="259" w:lineRule="auto"/>
            </w:pPr>
            <w:r>
              <w:rPr>
                <w:rFonts w:eastAsia="Calibri" w:cs="Calibri"/>
                <w:b/>
              </w:rPr>
              <w:t xml:space="preserve">Risk Management </w:t>
            </w:r>
          </w:p>
          <w:p w14:paraId="56DB5E9B" w14:textId="77777777" w:rsidR="00E3093E" w:rsidRPr="00E3093E" w:rsidRDefault="00E3093E" w:rsidP="00E3093E">
            <w:pPr>
              <w:pStyle w:val="Tablebullet"/>
              <w:spacing w:before="0" w:after="0"/>
              <w:rPr>
                <w:rFonts w:eastAsia="Calibri" w:cs="Calibri"/>
                <w:b/>
              </w:rPr>
            </w:pPr>
            <w:r>
              <w:t>Alert manager to any risks (real or potential) that may impact on the team’s ability to meet its deadlines, goals, commitments to others, or damage the Department’s reputation.</w:t>
            </w:r>
          </w:p>
        </w:tc>
        <w:tc>
          <w:tcPr>
            <w:tcW w:w="3935" w:type="dxa"/>
            <w:tcBorders>
              <w:top w:val="nil"/>
              <w:left w:val="single" w:sz="6" w:space="0" w:color="1F546B" w:themeColor="text2"/>
              <w:bottom w:val="single" w:sz="6" w:space="0" w:color="1F546B" w:themeColor="text2"/>
              <w:right w:val="nil"/>
            </w:tcBorders>
          </w:tcPr>
          <w:p w14:paraId="56DB5E9C" w14:textId="77777777" w:rsidR="00E3093E" w:rsidRDefault="00E3093E" w:rsidP="00E3093E">
            <w:pPr>
              <w:pStyle w:val="Tablebullet"/>
              <w:spacing w:before="0" w:after="0"/>
            </w:pPr>
            <w:r>
              <w:t xml:space="preserve">The Manager receives timely alerts to any real or potential risks </w:t>
            </w:r>
          </w:p>
          <w:p w14:paraId="56DB5E9D" w14:textId="77777777" w:rsidR="00E3093E" w:rsidRDefault="00E3093E" w:rsidP="00E3093E">
            <w:pPr>
              <w:pStyle w:val="Tablebullet"/>
              <w:spacing w:before="0" w:after="0"/>
            </w:pPr>
            <w:r>
              <w:t>Risks are managed in accordance with agreed risk management strategies</w:t>
            </w:r>
          </w:p>
        </w:tc>
      </w:tr>
      <w:tr w:rsidR="003D175D" w:rsidRPr="003D175D" w14:paraId="56DB5EA6" w14:textId="77777777" w:rsidTr="003D175D">
        <w:trPr>
          <w:cantSplit/>
        </w:trPr>
        <w:tc>
          <w:tcPr>
            <w:tcW w:w="5812" w:type="dxa"/>
            <w:tcBorders>
              <w:top w:val="nil"/>
              <w:left w:val="nil"/>
              <w:bottom w:val="single" w:sz="6" w:space="0" w:color="1F546B" w:themeColor="text2"/>
              <w:right w:val="single" w:sz="6" w:space="0" w:color="1F546B" w:themeColor="text2"/>
            </w:tcBorders>
          </w:tcPr>
          <w:p w14:paraId="56DB5E9F" w14:textId="77777777" w:rsidR="003D175D" w:rsidRPr="003D175D" w:rsidRDefault="003D175D" w:rsidP="00E3093E">
            <w:pPr>
              <w:pStyle w:val="Tablenormal0"/>
              <w:spacing w:before="0" w:after="0"/>
              <w:rPr>
                <w:b/>
                <w:bCs/>
              </w:rPr>
            </w:pPr>
            <w:r>
              <w:rPr>
                <w:b/>
                <w:bCs/>
              </w:rPr>
              <w:lastRenderedPageBreak/>
              <w:t>Health and safety (for self)</w:t>
            </w:r>
          </w:p>
          <w:p w14:paraId="56DB5EA0" w14:textId="77777777" w:rsidR="003D175D" w:rsidRDefault="001A069E" w:rsidP="00E3093E">
            <w:pPr>
              <w:pStyle w:val="Tablebullet"/>
              <w:spacing w:before="0" w:after="0"/>
            </w:pPr>
            <w:r>
              <w:t>Work safely and take responsibility for keeping self and colleagues free from harm</w:t>
            </w:r>
          </w:p>
          <w:p w14:paraId="56DB5EA1" w14:textId="77777777" w:rsidR="001A069E" w:rsidRDefault="001A069E" w:rsidP="00E3093E">
            <w:pPr>
              <w:pStyle w:val="Tablebullet"/>
              <w:spacing w:before="0" w:after="0"/>
            </w:pPr>
            <w:r>
              <w:t>Report all incidents and hazards promptly</w:t>
            </w:r>
          </w:p>
          <w:p w14:paraId="56DB5EA2" w14:textId="77777777" w:rsidR="001A069E" w:rsidRDefault="001A069E" w:rsidP="00E3093E">
            <w:pPr>
              <w:pStyle w:val="Tablebullet"/>
              <w:spacing w:before="0" w:after="0"/>
            </w:pPr>
            <w:r>
              <w:t>Know what to do in the event of an emergency</w:t>
            </w:r>
          </w:p>
          <w:p w14:paraId="56DB5EA3" w14:textId="77777777" w:rsidR="001A069E" w:rsidRPr="003D175D" w:rsidRDefault="001A069E" w:rsidP="00E3093E">
            <w:pPr>
              <w:pStyle w:val="Tablebullet"/>
              <w:spacing w:before="0" w:after="0"/>
            </w:pPr>
            <w:r>
              <w:t>Cooperate in implementing return to work plans</w:t>
            </w:r>
          </w:p>
        </w:tc>
        <w:tc>
          <w:tcPr>
            <w:tcW w:w="3935" w:type="dxa"/>
            <w:tcBorders>
              <w:top w:val="nil"/>
              <w:left w:val="single" w:sz="6" w:space="0" w:color="1F546B" w:themeColor="text2"/>
              <w:bottom w:val="single" w:sz="6" w:space="0" w:color="1F546B" w:themeColor="text2"/>
              <w:right w:val="nil"/>
            </w:tcBorders>
          </w:tcPr>
          <w:p w14:paraId="56DB5EA4" w14:textId="77777777" w:rsidR="009161CB" w:rsidRDefault="009161CB" w:rsidP="00E3093E">
            <w:pPr>
              <w:pStyle w:val="Tablebullet"/>
              <w:spacing w:before="0" w:after="0"/>
            </w:pPr>
            <w:r w:rsidRPr="009161CB">
              <w:t>A safe and health</w:t>
            </w:r>
            <w:r>
              <w:t>y</w:t>
            </w:r>
            <w:r w:rsidRPr="009161CB">
              <w:t xml:space="preserve"> workplace for all people using our sites as a place of work.</w:t>
            </w:r>
          </w:p>
          <w:p w14:paraId="56DB5EA5" w14:textId="77777777" w:rsidR="009161CB" w:rsidRPr="003D175D" w:rsidRDefault="003D175D" w:rsidP="00E3093E">
            <w:pPr>
              <w:pStyle w:val="Tablebullet"/>
              <w:spacing w:before="0" w:after="0"/>
            </w:pPr>
            <w:r w:rsidRPr="006B2693">
              <w:t>Health and</w:t>
            </w:r>
            <w:r>
              <w:t xml:space="preserve"> safety guidelines are followed</w:t>
            </w:r>
          </w:p>
        </w:tc>
      </w:tr>
    </w:tbl>
    <w:p w14:paraId="56DB5EA7" w14:textId="77777777"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14:paraId="56DB5EB0" w14:textId="77777777" w:rsidTr="001D30D4">
        <w:trPr>
          <w:trHeight w:val="737"/>
          <w:tblHeader/>
        </w:trPr>
        <w:tc>
          <w:tcPr>
            <w:tcW w:w="5842" w:type="dxa"/>
            <w:gridSpan w:val="2"/>
            <w:tcBorders>
              <w:bottom w:val="single" w:sz="6" w:space="0" w:color="1F546B" w:themeColor="text2"/>
            </w:tcBorders>
          </w:tcPr>
          <w:p w14:paraId="56DB5EA8" w14:textId="77777777" w:rsidR="006B2693" w:rsidRPr="00267EDC" w:rsidRDefault="006B2693" w:rsidP="00E3093E">
            <w:pPr>
              <w:spacing w:before="0" w:after="40"/>
            </w:pPr>
          </w:p>
        </w:tc>
        <w:tc>
          <w:tcPr>
            <w:tcW w:w="651" w:type="dxa"/>
            <w:vMerge w:val="restart"/>
            <w:tcBorders>
              <w:bottom w:val="single" w:sz="6" w:space="0" w:color="1F546B" w:themeColor="text2"/>
            </w:tcBorders>
            <w:textDirection w:val="btLr"/>
            <w:vAlign w:val="center"/>
          </w:tcPr>
          <w:p w14:paraId="56DB5EA9" w14:textId="77777777" w:rsidR="006B2693" w:rsidRPr="00267EDC" w:rsidRDefault="006B2693" w:rsidP="00E3093E">
            <w:pPr>
              <w:pStyle w:val="Tableverticaltext"/>
              <w:spacing w:after="40"/>
            </w:pPr>
            <w:r w:rsidRPr="00267EDC">
              <w:t>Advise</w:t>
            </w:r>
          </w:p>
        </w:tc>
        <w:tc>
          <w:tcPr>
            <w:tcW w:w="652" w:type="dxa"/>
            <w:vMerge w:val="restart"/>
            <w:tcBorders>
              <w:bottom w:val="single" w:sz="6" w:space="0" w:color="1F546B" w:themeColor="text2"/>
            </w:tcBorders>
            <w:textDirection w:val="btLr"/>
            <w:vAlign w:val="center"/>
          </w:tcPr>
          <w:p w14:paraId="56DB5EAA" w14:textId="77777777" w:rsidR="006B2693" w:rsidRPr="00267EDC" w:rsidRDefault="006B2693" w:rsidP="00E3093E">
            <w:pPr>
              <w:pStyle w:val="Tableverticaltext"/>
              <w:spacing w:after="40"/>
            </w:pPr>
            <w:r w:rsidRPr="00267EDC">
              <w:t>Collaborate with</w:t>
            </w:r>
          </w:p>
        </w:tc>
        <w:tc>
          <w:tcPr>
            <w:tcW w:w="652" w:type="dxa"/>
            <w:vMerge w:val="restart"/>
            <w:tcBorders>
              <w:bottom w:val="single" w:sz="6" w:space="0" w:color="1F546B" w:themeColor="text2"/>
            </w:tcBorders>
            <w:textDirection w:val="btLr"/>
            <w:vAlign w:val="center"/>
          </w:tcPr>
          <w:p w14:paraId="56DB5EAB" w14:textId="77777777" w:rsidR="006B2693" w:rsidRPr="00267EDC" w:rsidRDefault="006B2693" w:rsidP="00E3093E">
            <w:pPr>
              <w:pStyle w:val="Tableverticaltext"/>
              <w:spacing w:after="40"/>
            </w:pPr>
            <w:r w:rsidRPr="00267EDC">
              <w:t>Influence</w:t>
            </w:r>
          </w:p>
        </w:tc>
        <w:tc>
          <w:tcPr>
            <w:tcW w:w="651" w:type="dxa"/>
            <w:vMerge w:val="restart"/>
            <w:tcBorders>
              <w:bottom w:val="single" w:sz="6" w:space="0" w:color="1F546B" w:themeColor="text2"/>
            </w:tcBorders>
            <w:textDirection w:val="btLr"/>
            <w:vAlign w:val="center"/>
          </w:tcPr>
          <w:p w14:paraId="56DB5EAC" w14:textId="77777777" w:rsidR="006B2693" w:rsidRPr="00267EDC" w:rsidRDefault="006B2693" w:rsidP="00E3093E">
            <w:pPr>
              <w:pStyle w:val="Tableverticaltext"/>
              <w:spacing w:after="40"/>
            </w:pPr>
            <w:r w:rsidRPr="00267EDC">
              <w:t>Inform</w:t>
            </w:r>
          </w:p>
        </w:tc>
        <w:tc>
          <w:tcPr>
            <w:tcW w:w="652" w:type="dxa"/>
            <w:vMerge w:val="restart"/>
            <w:tcBorders>
              <w:bottom w:val="single" w:sz="6" w:space="0" w:color="1F546B" w:themeColor="text2"/>
            </w:tcBorders>
            <w:textDirection w:val="btLr"/>
            <w:vAlign w:val="center"/>
          </w:tcPr>
          <w:p w14:paraId="56DB5EAD" w14:textId="77777777" w:rsidR="006B2693" w:rsidRPr="00267EDC" w:rsidRDefault="006B2693" w:rsidP="00E3093E">
            <w:pPr>
              <w:pStyle w:val="Tableverticaltext"/>
              <w:spacing w:after="40"/>
            </w:pPr>
            <w:r w:rsidRPr="00267EDC">
              <w:t>Manage/</w:t>
            </w:r>
          </w:p>
          <w:p w14:paraId="56DB5EAE" w14:textId="77777777" w:rsidR="006B2693" w:rsidRPr="00267EDC" w:rsidRDefault="006B2693" w:rsidP="00E3093E">
            <w:pPr>
              <w:pStyle w:val="Tableverticaltext"/>
              <w:spacing w:after="40"/>
            </w:pPr>
            <w:r w:rsidRPr="00267EDC">
              <w:t>lead</w:t>
            </w:r>
          </w:p>
        </w:tc>
        <w:tc>
          <w:tcPr>
            <w:tcW w:w="652" w:type="dxa"/>
            <w:vMerge w:val="restart"/>
            <w:tcBorders>
              <w:bottom w:val="single" w:sz="6" w:space="0" w:color="1F546B" w:themeColor="text2"/>
            </w:tcBorders>
            <w:textDirection w:val="btLr"/>
            <w:vAlign w:val="center"/>
          </w:tcPr>
          <w:p w14:paraId="56DB5EAF" w14:textId="77777777" w:rsidR="006B2693" w:rsidRPr="00267EDC" w:rsidRDefault="006B2693" w:rsidP="00E3093E">
            <w:pPr>
              <w:pStyle w:val="Tableverticaltext"/>
              <w:spacing w:after="40"/>
            </w:pPr>
            <w:r w:rsidRPr="00267EDC">
              <w:t>Deliver to</w:t>
            </w:r>
          </w:p>
        </w:tc>
      </w:tr>
      <w:tr w:rsidR="006B2693" w:rsidRPr="00267EDC" w14:paraId="56DB5EB8" w14:textId="77777777" w:rsidTr="005E4205">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56DB5EB1" w14:textId="77777777" w:rsidR="006B2693" w:rsidRPr="00267EDC" w:rsidRDefault="006B2693" w:rsidP="00E3093E">
            <w:pPr>
              <w:pStyle w:val="Tableheading"/>
              <w:spacing w:before="0" w:after="40"/>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56DB5EB2" w14:textId="77777777" w:rsidR="006B2693" w:rsidRPr="00267EDC" w:rsidRDefault="006B2693" w:rsidP="00E3093E">
            <w:pPr>
              <w:spacing w:before="0" w:after="40"/>
            </w:pPr>
          </w:p>
        </w:tc>
        <w:tc>
          <w:tcPr>
            <w:tcW w:w="652" w:type="dxa"/>
            <w:vMerge/>
            <w:tcBorders>
              <w:bottom w:val="single" w:sz="6" w:space="0" w:color="1F546B" w:themeColor="text2"/>
            </w:tcBorders>
            <w:textDirection w:val="btLr"/>
          </w:tcPr>
          <w:p w14:paraId="56DB5EB3" w14:textId="77777777" w:rsidR="006B2693" w:rsidRPr="00267EDC" w:rsidRDefault="006B2693" w:rsidP="00E3093E">
            <w:pPr>
              <w:spacing w:before="0" w:after="40"/>
            </w:pPr>
          </w:p>
        </w:tc>
        <w:tc>
          <w:tcPr>
            <w:tcW w:w="652" w:type="dxa"/>
            <w:vMerge/>
            <w:tcBorders>
              <w:bottom w:val="single" w:sz="6" w:space="0" w:color="1F546B" w:themeColor="text2"/>
            </w:tcBorders>
            <w:textDirection w:val="btLr"/>
          </w:tcPr>
          <w:p w14:paraId="56DB5EB4" w14:textId="77777777" w:rsidR="006B2693" w:rsidRPr="00267EDC" w:rsidRDefault="006B2693" w:rsidP="00E3093E">
            <w:pPr>
              <w:spacing w:before="0" w:after="40"/>
            </w:pPr>
          </w:p>
        </w:tc>
        <w:tc>
          <w:tcPr>
            <w:tcW w:w="651" w:type="dxa"/>
            <w:vMerge/>
            <w:tcBorders>
              <w:bottom w:val="single" w:sz="6" w:space="0" w:color="1F546B" w:themeColor="text2"/>
            </w:tcBorders>
            <w:textDirection w:val="btLr"/>
          </w:tcPr>
          <w:p w14:paraId="56DB5EB5" w14:textId="77777777" w:rsidR="006B2693" w:rsidRPr="00267EDC" w:rsidRDefault="006B2693" w:rsidP="00E3093E">
            <w:pPr>
              <w:spacing w:before="0" w:after="40"/>
            </w:pPr>
          </w:p>
        </w:tc>
        <w:tc>
          <w:tcPr>
            <w:tcW w:w="652" w:type="dxa"/>
            <w:vMerge/>
            <w:tcBorders>
              <w:bottom w:val="single" w:sz="6" w:space="0" w:color="1F546B" w:themeColor="text2"/>
            </w:tcBorders>
            <w:textDirection w:val="btLr"/>
          </w:tcPr>
          <w:p w14:paraId="56DB5EB6" w14:textId="77777777" w:rsidR="006B2693" w:rsidRPr="00267EDC" w:rsidRDefault="006B2693" w:rsidP="00E3093E">
            <w:pPr>
              <w:spacing w:before="0" w:after="40"/>
            </w:pPr>
          </w:p>
        </w:tc>
        <w:tc>
          <w:tcPr>
            <w:tcW w:w="652" w:type="dxa"/>
            <w:vMerge/>
            <w:tcBorders>
              <w:top w:val="single" w:sz="6" w:space="0" w:color="1F546B" w:themeColor="text2"/>
              <w:bottom w:val="single" w:sz="6" w:space="0" w:color="1F546B" w:themeColor="text2"/>
            </w:tcBorders>
            <w:textDirection w:val="btLr"/>
          </w:tcPr>
          <w:p w14:paraId="56DB5EB7" w14:textId="77777777" w:rsidR="006B2693" w:rsidRPr="00267EDC" w:rsidRDefault="006B2693" w:rsidP="00E3093E">
            <w:pPr>
              <w:spacing w:before="0" w:after="40"/>
            </w:pPr>
          </w:p>
        </w:tc>
      </w:tr>
      <w:tr w:rsidR="00E3093E" w:rsidRPr="001D30D4" w14:paraId="56DB5EC1" w14:textId="77777777" w:rsidTr="003965A8">
        <w:trPr>
          <w:trHeight w:val="345"/>
        </w:trPr>
        <w:tc>
          <w:tcPr>
            <w:tcW w:w="1134" w:type="dxa"/>
            <w:vMerge w:val="restart"/>
            <w:tcBorders>
              <w:top w:val="single" w:sz="6" w:space="0" w:color="1F546B" w:themeColor="text2"/>
              <w:right w:val="single" w:sz="6" w:space="0" w:color="1F546B" w:themeColor="text2"/>
            </w:tcBorders>
            <w:vAlign w:val="center"/>
          </w:tcPr>
          <w:p w14:paraId="56DB5EB9" w14:textId="77777777" w:rsidR="00E3093E" w:rsidRPr="001D30D4" w:rsidRDefault="00E3093E" w:rsidP="00E3093E">
            <w:pPr>
              <w:pStyle w:val="Tablenormalcondensed"/>
              <w:spacing w:before="0" w:after="40"/>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56DB5EBA" w14:textId="77777777" w:rsidR="00E3093E" w:rsidRDefault="00E3093E" w:rsidP="00E3093E">
            <w:pPr>
              <w:spacing w:before="0" w:after="40" w:line="259" w:lineRule="auto"/>
            </w:pPr>
            <w:r>
              <w:t xml:space="preserve">Operations Managers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BB" w14:textId="77777777" w:rsidR="00E3093E" w:rsidRDefault="00E3093E" w:rsidP="00E3093E">
            <w:pPr>
              <w:spacing w:before="0" w:after="40" w:line="259" w:lineRule="auto"/>
              <w:ind w:left="3"/>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BC" w14:textId="77777777" w:rsidR="00E3093E" w:rsidRDefault="00E3093E" w:rsidP="00E3093E">
            <w:pPr>
              <w:spacing w:before="0" w:after="40" w:line="259" w:lineRule="auto"/>
              <w:ind w:left="2"/>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BD" w14:textId="77777777" w:rsidR="00E3093E" w:rsidRDefault="00E3093E" w:rsidP="00E3093E">
            <w:pPr>
              <w:spacing w:before="0" w:after="40" w:line="259" w:lineRule="auto"/>
              <w:ind w:left="2"/>
            </w:pPr>
            <w:r>
              <w:rPr>
                <w:rFonts w:ascii="Wingdings" w:eastAsia="Wingdings" w:hAnsi="Wingdings" w:cs="Wingdings"/>
              </w:rPr>
              <w:t></w:t>
            </w:r>
            <w:r>
              <w:t xml:space="preserve">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BE" w14:textId="77777777" w:rsidR="00E3093E" w:rsidRDefault="00E3093E" w:rsidP="00E3093E">
            <w:pPr>
              <w:spacing w:before="0" w:after="40" w:line="259" w:lineRule="auto"/>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BF" w14:textId="77777777" w:rsidR="00E3093E" w:rsidRDefault="00E3093E" w:rsidP="00E3093E">
            <w:pPr>
              <w:spacing w:before="0" w:after="40" w:line="259" w:lineRule="auto"/>
              <w:ind w:left="2"/>
            </w:pPr>
            <w:r>
              <w:t xml:space="preserve"> </w:t>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56DB5EC0" w14:textId="77777777" w:rsidR="00E3093E" w:rsidRDefault="00E3093E" w:rsidP="00E3093E">
            <w:pPr>
              <w:spacing w:before="0" w:after="40" w:line="259" w:lineRule="auto"/>
            </w:pPr>
            <w:r>
              <w:rPr>
                <w:rFonts w:ascii="Wingdings" w:eastAsia="Wingdings" w:hAnsi="Wingdings" w:cs="Wingdings"/>
              </w:rPr>
              <w:t></w:t>
            </w:r>
            <w:r>
              <w:t xml:space="preserve"> </w:t>
            </w:r>
          </w:p>
        </w:tc>
      </w:tr>
      <w:tr w:rsidR="00E3093E" w:rsidRPr="001D30D4" w14:paraId="56DB5ECA" w14:textId="77777777" w:rsidTr="003965A8">
        <w:trPr>
          <w:trHeight w:val="345"/>
        </w:trPr>
        <w:tc>
          <w:tcPr>
            <w:tcW w:w="1134" w:type="dxa"/>
            <w:vMerge/>
            <w:tcBorders>
              <w:right w:val="single" w:sz="6" w:space="0" w:color="1F546B" w:themeColor="text2"/>
            </w:tcBorders>
            <w:vAlign w:val="center"/>
          </w:tcPr>
          <w:p w14:paraId="56DB5EC2" w14:textId="77777777" w:rsidR="00E3093E" w:rsidRPr="001D30D4" w:rsidRDefault="00E3093E" w:rsidP="00E3093E">
            <w:pPr>
              <w:pStyle w:val="Tablenormalcondensed"/>
              <w:spacing w:before="0" w:after="40"/>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56DB5EC3" w14:textId="77777777" w:rsidR="00E3093E" w:rsidRDefault="00E3093E" w:rsidP="00E3093E">
            <w:pPr>
              <w:spacing w:before="0" w:after="40" w:line="259" w:lineRule="auto"/>
            </w:pPr>
            <w:r>
              <w:t xml:space="preserve">Staff within AML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C4" w14:textId="77777777" w:rsidR="00E3093E" w:rsidRDefault="00E3093E" w:rsidP="00E3093E">
            <w:pPr>
              <w:spacing w:before="0" w:after="40" w:line="259" w:lineRule="auto"/>
              <w:ind w:left="3"/>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C5" w14:textId="77777777" w:rsidR="00E3093E" w:rsidRDefault="00E3093E" w:rsidP="00E3093E">
            <w:pPr>
              <w:spacing w:before="0" w:after="40" w:line="259" w:lineRule="auto"/>
              <w:ind w:left="2"/>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C6" w14:textId="77777777" w:rsidR="00E3093E" w:rsidRDefault="00E3093E" w:rsidP="00E3093E">
            <w:pPr>
              <w:spacing w:before="0" w:after="40" w:line="259" w:lineRule="auto"/>
              <w:ind w:left="2"/>
            </w:pPr>
            <w:r>
              <w:rPr>
                <w:rFonts w:ascii="Wingdings" w:eastAsia="Wingdings" w:hAnsi="Wingdings" w:cs="Wingdings"/>
              </w:rPr>
              <w:t></w:t>
            </w:r>
            <w:r>
              <w:t xml:space="preserve">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C7" w14:textId="77777777" w:rsidR="00E3093E" w:rsidRDefault="00E3093E" w:rsidP="00E3093E">
            <w:pPr>
              <w:spacing w:before="0" w:after="40" w:line="259" w:lineRule="auto"/>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C8" w14:textId="77777777" w:rsidR="00E3093E" w:rsidRDefault="00E3093E" w:rsidP="00E3093E">
            <w:pPr>
              <w:spacing w:before="0" w:after="40" w:line="259" w:lineRule="auto"/>
              <w:ind w:left="2"/>
            </w:pPr>
            <w:r>
              <w:t xml:space="preserve"> </w:t>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56DB5EC9" w14:textId="77777777" w:rsidR="00E3093E" w:rsidRDefault="00E3093E" w:rsidP="00E3093E">
            <w:pPr>
              <w:spacing w:before="0" w:after="40" w:line="259" w:lineRule="auto"/>
            </w:pPr>
            <w:r>
              <w:rPr>
                <w:rFonts w:ascii="Wingdings" w:eastAsia="Wingdings" w:hAnsi="Wingdings" w:cs="Wingdings"/>
              </w:rPr>
              <w:t></w:t>
            </w:r>
            <w:r>
              <w:t xml:space="preserve"> </w:t>
            </w:r>
          </w:p>
        </w:tc>
      </w:tr>
      <w:tr w:rsidR="00E3093E" w:rsidRPr="001D30D4" w14:paraId="56DB5ED3" w14:textId="77777777" w:rsidTr="003965A8">
        <w:trPr>
          <w:trHeight w:val="233"/>
        </w:trPr>
        <w:tc>
          <w:tcPr>
            <w:tcW w:w="1134" w:type="dxa"/>
            <w:vMerge/>
            <w:tcBorders>
              <w:bottom w:val="single" w:sz="6" w:space="0" w:color="1F546B" w:themeColor="text2"/>
              <w:right w:val="single" w:sz="6" w:space="0" w:color="1F546B" w:themeColor="text2"/>
            </w:tcBorders>
            <w:vAlign w:val="center"/>
          </w:tcPr>
          <w:p w14:paraId="56DB5ECB" w14:textId="77777777" w:rsidR="00E3093E" w:rsidRPr="001D30D4" w:rsidRDefault="00E3093E" w:rsidP="00E3093E">
            <w:pPr>
              <w:pStyle w:val="Tablenormalcondensed"/>
              <w:spacing w:before="0" w:after="40"/>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56DB5ECC" w14:textId="77777777" w:rsidR="00E3093E" w:rsidRDefault="00E3093E" w:rsidP="00E3093E">
            <w:pPr>
              <w:spacing w:before="0" w:after="40" w:line="259" w:lineRule="auto"/>
            </w:pPr>
            <w:r>
              <w:t xml:space="preserve">Other Regulatory Services/Department Staff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CD" w14:textId="77777777" w:rsidR="00E3093E" w:rsidRDefault="00E3093E" w:rsidP="00E3093E">
            <w:pPr>
              <w:spacing w:before="0" w:after="40" w:line="259" w:lineRule="auto"/>
              <w:ind w:left="3"/>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CE" w14:textId="77777777" w:rsidR="00E3093E" w:rsidRDefault="00E3093E" w:rsidP="00E3093E">
            <w:pPr>
              <w:spacing w:before="0" w:after="40" w:line="259" w:lineRule="auto"/>
              <w:ind w:left="2"/>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CF" w14:textId="77777777" w:rsidR="00E3093E" w:rsidRDefault="00E3093E" w:rsidP="00E3093E">
            <w:pPr>
              <w:spacing w:before="0" w:after="40" w:line="259" w:lineRule="auto"/>
              <w:ind w:left="2"/>
            </w:pPr>
            <w:r>
              <w:rPr>
                <w:rFonts w:ascii="Wingdings" w:eastAsia="Wingdings" w:hAnsi="Wingdings" w:cs="Wingdings"/>
              </w:rPr>
              <w:t></w:t>
            </w:r>
            <w:r>
              <w:t xml:space="preserve">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D0" w14:textId="77777777" w:rsidR="00E3093E" w:rsidRDefault="00E3093E" w:rsidP="00E3093E">
            <w:pPr>
              <w:spacing w:before="0" w:after="40" w:line="259" w:lineRule="auto"/>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D1" w14:textId="77777777" w:rsidR="00E3093E" w:rsidRDefault="00E3093E" w:rsidP="00E3093E">
            <w:pPr>
              <w:spacing w:before="0" w:after="40" w:line="259" w:lineRule="auto"/>
              <w:ind w:left="2"/>
            </w:pPr>
            <w:r>
              <w:t xml:space="preserve"> </w:t>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56DB5ED2" w14:textId="77777777" w:rsidR="00E3093E" w:rsidRDefault="00E3093E" w:rsidP="00E3093E">
            <w:pPr>
              <w:spacing w:before="0" w:after="40" w:line="259" w:lineRule="auto"/>
            </w:pPr>
            <w:r>
              <w:rPr>
                <w:rFonts w:ascii="Wingdings" w:eastAsia="Wingdings" w:hAnsi="Wingdings" w:cs="Wingdings"/>
              </w:rPr>
              <w:t></w:t>
            </w:r>
            <w:r>
              <w:t xml:space="preserve"> </w:t>
            </w:r>
          </w:p>
        </w:tc>
      </w:tr>
      <w:tr w:rsidR="00E3093E" w:rsidRPr="001D30D4" w14:paraId="56DB5EDC" w14:textId="77777777" w:rsidTr="003965A8">
        <w:trPr>
          <w:trHeight w:val="233"/>
        </w:trPr>
        <w:tc>
          <w:tcPr>
            <w:tcW w:w="1134" w:type="dxa"/>
            <w:vMerge w:val="restart"/>
            <w:tcBorders>
              <w:top w:val="single" w:sz="6" w:space="0" w:color="1F546B" w:themeColor="text2"/>
              <w:right w:val="single" w:sz="6" w:space="0" w:color="1F546B" w:themeColor="text2"/>
            </w:tcBorders>
            <w:vAlign w:val="center"/>
          </w:tcPr>
          <w:p w14:paraId="56DB5ED4" w14:textId="77777777" w:rsidR="00E3093E" w:rsidRPr="001D30D4" w:rsidRDefault="00E3093E" w:rsidP="00E3093E">
            <w:pPr>
              <w:pStyle w:val="Tablenormalcondensed"/>
              <w:spacing w:before="0" w:after="40"/>
            </w:pPr>
            <w:r w:rsidRPr="001D30D4">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56DB5ED5" w14:textId="77777777" w:rsidR="00E3093E" w:rsidRDefault="00E3093E" w:rsidP="00E3093E">
            <w:pPr>
              <w:spacing w:before="0" w:after="40" w:line="259" w:lineRule="auto"/>
            </w:pPr>
            <w:r>
              <w:t xml:space="preserve">Other government agencies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D6" w14:textId="77777777" w:rsidR="00E3093E" w:rsidRDefault="00E3093E" w:rsidP="00E3093E">
            <w:pPr>
              <w:spacing w:before="0" w:after="40" w:line="259" w:lineRule="auto"/>
              <w:ind w:left="3"/>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D7" w14:textId="77777777" w:rsidR="00E3093E" w:rsidRDefault="00E3093E" w:rsidP="00E3093E">
            <w:pPr>
              <w:spacing w:before="0" w:after="40" w:line="259" w:lineRule="auto"/>
              <w:ind w:left="2"/>
            </w:pP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D8" w14:textId="77777777" w:rsidR="00E3093E" w:rsidRDefault="00E3093E" w:rsidP="00E3093E">
            <w:pPr>
              <w:spacing w:before="0" w:after="40" w:line="259" w:lineRule="auto"/>
              <w:ind w:left="2"/>
            </w:pPr>
            <w:r>
              <w:rPr>
                <w:rFonts w:ascii="Wingdings" w:eastAsia="Wingdings" w:hAnsi="Wingdings" w:cs="Wingdings"/>
              </w:rPr>
              <w:t></w:t>
            </w:r>
            <w:r>
              <w:t xml:space="preserve">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D9" w14:textId="77777777" w:rsidR="00E3093E" w:rsidRDefault="00E3093E" w:rsidP="00E3093E">
            <w:pPr>
              <w:spacing w:before="0" w:after="40" w:line="259" w:lineRule="auto"/>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DA" w14:textId="77777777" w:rsidR="00E3093E" w:rsidRDefault="00E3093E" w:rsidP="00E3093E">
            <w:pPr>
              <w:spacing w:before="0" w:after="40" w:line="259" w:lineRule="auto"/>
              <w:ind w:left="2"/>
            </w:pPr>
            <w:r>
              <w:t xml:space="preserve"> </w:t>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56DB5EDB" w14:textId="77777777" w:rsidR="00E3093E" w:rsidRDefault="00E3093E" w:rsidP="00E3093E">
            <w:pPr>
              <w:spacing w:before="0" w:after="40" w:line="259" w:lineRule="auto"/>
            </w:pPr>
            <w:r>
              <w:t xml:space="preserve"> </w:t>
            </w:r>
          </w:p>
        </w:tc>
      </w:tr>
      <w:tr w:rsidR="00E3093E" w:rsidRPr="001D30D4" w14:paraId="56DB5EE5" w14:textId="77777777" w:rsidTr="003965A8">
        <w:trPr>
          <w:trHeight w:val="233"/>
        </w:trPr>
        <w:tc>
          <w:tcPr>
            <w:tcW w:w="1134" w:type="dxa"/>
            <w:vMerge/>
            <w:tcBorders>
              <w:right w:val="single" w:sz="6" w:space="0" w:color="1F546B" w:themeColor="text2"/>
            </w:tcBorders>
            <w:vAlign w:val="center"/>
          </w:tcPr>
          <w:p w14:paraId="56DB5EDD" w14:textId="77777777" w:rsidR="00E3093E" w:rsidRPr="001D30D4" w:rsidRDefault="00E3093E" w:rsidP="00E3093E">
            <w:pPr>
              <w:pStyle w:val="Tablenormalcondensed"/>
              <w:spacing w:before="0" w:after="40"/>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56DB5EDE" w14:textId="77777777" w:rsidR="00E3093E" w:rsidRDefault="00E3093E" w:rsidP="00E3093E">
            <w:pPr>
              <w:spacing w:before="0" w:after="40" w:line="259" w:lineRule="auto"/>
            </w:pPr>
            <w:r>
              <w:t xml:space="preserve">Supervisory entities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DF" w14:textId="77777777" w:rsidR="00E3093E" w:rsidRDefault="00E3093E" w:rsidP="00E3093E">
            <w:pPr>
              <w:spacing w:before="0" w:after="40" w:line="259" w:lineRule="auto"/>
              <w:ind w:left="3"/>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E0" w14:textId="77777777" w:rsidR="00E3093E" w:rsidRDefault="00E3093E" w:rsidP="00E3093E">
            <w:pPr>
              <w:spacing w:before="0" w:after="40" w:line="259" w:lineRule="auto"/>
              <w:ind w:left="2"/>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E1" w14:textId="77777777" w:rsidR="00E3093E" w:rsidRDefault="00E3093E" w:rsidP="00E3093E">
            <w:pPr>
              <w:spacing w:before="0" w:after="40" w:line="259" w:lineRule="auto"/>
              <w:ind w:left="2"/>
            </w:pPr>
            <w:r>
              <w:rPr>
                <w:rFonts w:ascii="Wingdings" w:eastAsia="Wingdings" w:hAnsi="Wingdings" w:cs="Wingdings"/>
              </w:rPr>
              <w:t></w:t>
            </w:r>
            <w:r>
              <w:t xml:space="preserve">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E2" w14:textId="77777777" w:rsidR="00E3093E" w:rsidRDefault="00E3093E" w:rsidP="00E3093E">
            <w:pPr>
              <w:spacing w:before="0" w:after="40" w:line="259" w:lineRule="auto"/>
            </w:pP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E3" w14:textId="77777777" w:rsidR="00E3093E" w:rsidRDefault="00E3093E" w:rsidP="00E3093E">
            <w:pPr>
              <w:spacing w:before="0" w:after="40" w:line="259" w:lineRule="auto"/>
              <w:ind w:left="2"/>
            </w:pPr>
            <w:r>
              <w:t xml:space="preserve"> </w:t>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56DB5EE4" w14:textId="77777777" w:rsidR="00E3093E" w:rsidRDefault="00E3093E" w:rsidP="00E3093E">
            <w:pPr>
              <w:spacing w:before="0" w:after="40" w:line="259" w:lineRule="auto"/>
            </w:pPr>
            <w:r>
              <w:t xml:space="preserve"> </w:t>
            </w:r>
          </w:p>
        </w:tc>
      </w:tr>
      <w:tr w:rsidR="00E3093E" w:rsidRPr="001D30D4" w14:paraId="56DB5EEE" w14:textId="77777777" w:rsidTr="003965A8">
        <w:trPr>
          <w:trHeight w:val="233"/>
        </w:trPr>
        <w:tc>
          <w:tcPr>
            <w:tcW w:w="1134" w:type="dxa"/>
            <w:vMerge/>
            <w:tcBorders>
              <w:bottom w:val="single" w:sz="6" w:space="0" w:color="1F546B" w:themeColor="text2"/>
              <w:right w:val="single" w:sz="6" w:space="0" w:color="1F546B" w:themeColor="text2"/>
            </w:tcBorders>
            <w:vAlign w:val="center"/>
          </w:tcPr>
          <w:p w14:paraId="56DB5EE6" w14:textId="77777777" w:rsidR="00E3093E" w:rsidRPr="001D30D4" w:rsidRDefault="00E3093E" w:rsidP="00E3093E">
            <w:pPr>
              <w:pStyle w:val="Tablenormalcondensed"/>
              <w:spacing w:before="0" w:after="40"/>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56DB5EE7" w14:textId="77777777" w:rsidR="00E3093E" w:rsidRDefault="00E3093E" w:rsidP="00E3093E">
            <w:pPr>
              <w:spacing w:before="0" w:after="40" w:line="259" w:lineRule="auto"/>
            </w:pPr>
            <w:r>
              <w:t xml:space="preserve">Reporting entities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E8" w14:textId="77777777" w:rsidR="00E3093E" w:rsidRDefault="00E3093E" w:rsidP="00E3093E">
            <w:pPr>
              <w:spacing w:before="0" w:after="40" w:line="259" w:lineRule="auto"/>
              <w:ind w:left="3"/>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E9" w14:textId="77777777" w:rsidR="00E3093E" w:rsidRDefault="00E3093E" w:rsidP="00E3093E">
            <w:pPr>
              <w:spacing w:before="0" w:after="40" w:line="259" w:lineRule="auto"/>
              <w:ind w:left="2"/>
            </w:pP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EA" w14:textId="77777777" w:rsidR="00E3093E" w:rsidRDefault="00E3093E" w:rsidP="00E3093E">
            <w:pPr>
              <w:spacing w:before="0" w:after="40" w:line="259" w:lineRule="auto"/>
              <w:ind w:left="2"/>
            </w:pPr>
            <w:r>
              <w:rPr>
                <w:rFonts w:ascii="Wingdings" w:eastAsia="Wingdings" w:hAnsi="Wingdings" w:cs="Wingdings"/>
              </w:rPr>
              <w:t></w:t>
            </w:r>
            <w:r>
              <w:t xml:space="preserve">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EB" w14:textId="77777777" w:rsidR="00E3093E" w:rsidRDefault="00E3093E" w:rsidP="00E3093E">
            <w:pPr>
              <w:spacing w:before="0" w:after="40" w:line="259" w:lineRule="auto"/>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6DB5EEC" w14:textId="77777777" w:rsidR="00E3093E" w:rsidRDefault="00E3093E" w:rsidP="00E3093E">
            <w:pPr>
              <w:spacing w:before="0" w:after="40" w:line="259" w:lineRule="auto"/>
              <w:ind w:left="2"/>
            </w:pPr>
            <w:r>
              <w:t xml:space="preserve"> </w:t>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56DB5EED" w14:textId="77777777" w:rsidR="00E3093E" w:rsidRDefault="00E3093E" w:rsidP="00E3093E">
            <w:pPr>
              <w:spacing w:before="0" w:after="40" w:line="259" w:lineRule="auto"/>
            </w:pPr>
            <w:r>
              <w:t xml:space="preserve"> </w:t>
            </w:r>
          </w:p>
        </w:tc>
      </w:tr>
    </w:tbl>
    <w:p w14:paraId="56DB5EEF" w14:textId="77777777" w:rsidR="008023C3" w:rsidRDefault="008023C3" w:rsidP="00883B1E">
      <w:pPr>
        <w:pStyle w:val="Tinyline"/>
      </w:pPr>
    </w:p>
    <w:p w14:paraId="56DB5EF0"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873"/>
        <w:gridCol w:w="4874"/>
      </w:tblGrid>
      <w:tr w:rsidR="00075526" w:rsidRPr="008023C3" w14:paraId="56DB5EF2" w14:textId="77777777" w:rsidTr="00880632">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56DB5EF1" w14:textId="77777777" w:rsidR="00075526" w:rsidRPr="008023C3" w:rsidRDefault="00075526" w:rsidP="00075526">
            <w:pPr>
              <w:pStyle w:val="Tableheading"/>
            </w:pPr>
            <w:r>
              <w:t xml:space="preserve">Your delegations </w:t>
            </w:r>
          </w:p>
        </w:tc>
      </w:tr>
      <w:tr w:rsidR="00075526" w:rsidRPr="008023C3" w14:paraId="56DB5EF5" w14:textId="77777777" w:rsidTr="00880632">
        <w:tc>
          <w:tcPr>
            <w:tcW w:w="4873" w:type="dxa"/>
            <w:tcBorders>
              <w:top w:val="nil"/>
              <w:left w:val="nil"/>
              <w:bottom w:val="single" w:sz="6" w:space="0" w:color="1F546B" w:themeColor="text2"/>
              <w:right w:val="single" w:sz="6" w:space="0" w:color="1F546B" w:themeColor="text2"/>
            </w:tcBorders>
          </w:tcPr>
          <w:p w14:paraId="56DB5EF3" w14:textId="77777777" w:rsidR="00075526" w:rsidRPr="00356EDF" w:rsidRDefault="00075526" w:rsidP="00880632">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14:paraId="56DB5EF4" w14:textId="77777777" w:rsidR="00075526" w:rsidRPr="001D30D4" w:rsidRDefault="00E3093E" w:rsidP="00075526">
            <w:pPr>
              <w:pStyle w:val="Tablenormal0"/>
            </w:pPr>
            <w:r>
              <w:t>Level Z</w:t>
            </w:r>
          </w:p>
        </w:tc>
      </w:tr>
      <w:tr w:rsidR="00075526" w:rsidRPr="008023C3" w14:paraId="56DB5EF8" w14:textId="77777777" w:rsidTr="00880632">
        <w:tc>
          <w:tcPr>
            <w:tcW w:w="4873" w:type="dxa"/>
            <w:tcBorders>
              <w:top w:val="single" w:sz="6" w:space="0" w:color="1F546B" w:themeColor="text2"/>
              <w:left w:val="nil"/>
              <w:bottom w:val="single" w:sz="6" w:space="0" w:color="1F546B" w:themeColor="text2"/>
              <w:right w:val="single" w:sz="6" w:space="0" w:color="1F546B" w:themeColor="text2"/>
            </w:tcBorders>
          </w:tcPr>
          <w:p w14:paraId="56DB5EF6" w14:textId="77777777" w:rsidR="00075526" w:rsidRDefault="00075526" w:rsidP="00880632">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56DB5EF7" w14:textId="77777777" w:rsidR="00075526" w:rsidRPr="001D30D4" w:rsidRDefault="00E3093E" w:rsidP="00880632">
            <w:pPr>
              <w:pStyle w:val="Tablenormal0"/>
            </w:pPr>
            <w:r>
              <w:t>Nil</w:t>
            </w:r>
          </w:p>
        </w:tc>
      </w:tr>
      <w:tr w:rsidR="007A1388" w:rsidRPr="008023C3" w14:paraId="56DB5EFB" w14:textId="77777777" w:rsidTr="00880632">
        <w:tc>
          <w:tcPr>
            <w:tcW w:w="4873" w:type="dxa"/>
            <w:tcBorders>
              <w:top w:val="single" w:sz="6" w:space="0" w:color="1F546B" w:themeColor="text2"/>
              <w:left w:val="nil"/>
              <w:bottom w:val="single" w:sz="6" w:space="0" w:color="1F546B" w:themeColor="text2"/>
              <w:right w:val="single" w:sz="6" w:space="0" w:color="1F546B" w:themeColor="text2"/>
            </w:tcBorders>
          </w:tcPr>
          <w:p w14:paraId="56DB5EF9" w14:textId="77777777" w:rsidR="007A1388" w:rsidRDefault="00DC0208" w:rsidP="00E3093E">
            <w:pPr>
              <w:pStyle w:val="Tablenormal0"/>
            </w:pPr>
            <w:r>
              <w:t xml:space="preserve">Statutory powers </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56DB5EFA" w14:textId="63F479B3" w:rsidR="007A1388" w:rsidRDefault="00E3093E" w:rsidP="00263C5B">
            <w:pPr>
              <w:pStyle w:val="Tablenormal0"/>
            </w:pPr>
            <w:r>
              <w:t xml:space="preserve">Anti-Money Laundering and Countering Financing of Terrorism Act 2009 </w:t>
            </w:r>
            <w:r w:rsidR="00263C5B" w:rsidRPr="00263C5B">
              <w:t>in accordance with the departmental delegations policy and delegations schedule</w:t>
            </w:r>
          </w:p>
        </w:tc>
      </w:tr>
    </w:tbl>
    <w:p w14:paraId="56DB5EFC" w14:textId="77777777" w:rsidR="00883B1E" w:rsidRDefault="00883B1E" w:rsidP="00883B1E">
      <w:pPr>
        <w:pStyle w:val="Tinyline"/>
      </w:pPr>
    </w:p>
    <w:p w14:paraId="56DB5EFD"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873"/>
        <w:gridCol w:w="4874"/>
      </w:tblGrid>
      <w:tr w:rsidR="008023C3" w:rsidRPr="008023C3" w14:paraId="56DB5F00" w14:textId="77777777"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56DB5EFE" w14:textId="77777777"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56DB5EFF" w14:textId="77777777" w:rsidR="008023C3" w:rsidRPr="008023C3" w:rsidRDefault="008023C3" w:rsidP="00B90EE6">
            <w:pPr>
              <w:pStyle w:val="Tableheading"/>
            </w:pPr>
            <w:r w:rsidRPr="008023C3">
              <w:t>What you will bring specifically</w:t>
            </w:r>
          </w:p>
        </w:tc>
      </w:tr>
      <w:tr w:rsidR="008023C3" w:rsidRPr="008023C3" w14:paraId="56DB5F24" w14:textId="77777777" w:rsidTr="001D30D4">
        <w:tc>
          <w:tcPr>
            <w:tcW w:w="4873" w:type="dxa"/>
            <w:tcBorders>
              <w:top w:val="nil"/>
              <w:left w:val="nil"/>
              <w:bottom w:val="single" w:sz="6" w:space="0" w:color="1F546B" w:themeColor="text2"/>
              <w:right w:val="single" w:sz="6" w:space="0" w:color="1F546B" w:themeColor="text2"/>
            </w:tcBorders>
          </w:tcPr>
          <w:p w14:paraId="56DB5F01" w14:textId="77777777" w:rsidR="008023C3" w:rsidRPr="008023C3" w:rsidRDefault="008023C3" w:rsidP="00C21752">
            <w:pPr>
              <w:pStyle w:val="Tablenormal0"/>
              <w:spacing w:before="0" w:after="0"/>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3" w:history="1">
              <w:r w:rsidRPr="009C0471">
                <w:rPr>
                  <w:rStyle w:val="Hyperlink"/>
                </w:rPr>
                <w:t>Valued Contributor</w:t>
              </w:r>
            </w:hyperlink>
            <w:r w:rsidR="001D30D4">
              <w:t>.</w:t>
            </w:r>
            <w:r w:rsidRPr="008023C3">
              <w:br/>
            </w:r>
            <w:r w:rsidRPr="008023C3">
              <w:br/>
            </w:r>
            <w:r w:rsidRPr="009E40D1">
              <w:rPr>
                <w:b/>
                <w:bCs/>
              </w:rPr>
              <w:t>Keys to Success:</w:t>
            </w:r>
          </w:p>
          <w:p w14:paraId="56DB5F02" w14:textId="77777777" w:rsidR="008023C3" w:rsidRPr="008023C3" w:rsidRDefault="008023C3" w:rsidP="00C21752">
            <w:pPr>
              <w:pStyle w:val="Tablebullet"/>
              <w:spacing w:before="0" w:after="0"/>
            </w:pPr>
            <w:r w:rsidRPr="008023C3">
              <w:t>Customer Focus</w:t>
            </w:r>
          </w:p>
          <w:p w14:paraId="56DB5F03" w14:textId="77777777" w:rsidR="008023C3" w:rsidRPr="008023C3" w:rsidRDefault="008023C3" w:rsidP="00C21752">
            <w:pPr>
              <w:pStyle w:val="Tablebullet"/>
              <w:spacing w:before="0" w:after="0"/>
            </w:pPr>
            <w:r w:rsidRPr="008023C3">
              <w:t>Continuous improvement</w:t>
            </w:r>
          </w:p>
          <w:p w14:paraId="56DB5F04" w14:textId="77777777" w:rsidR="008023C3" w:rsidRPr="008023C3" w:rsidRDefault="008023C3" w:rsidP="00C21752">
            <w:pPr>
              <w:pStyle w:val="Tablebullet"/>
              <w:spacing w:before="0" w:after="0"/>
            </w:pPr>
            <w:r w:rsidRPr="008023C3">
              <w:t>Teamwork and peer relationships</w:t>
            </w:r>
          </w:p>
          <w:p w14:paraId="56DB5F05" w14:textId="77777777" w:rsidR="008023C3" w:rsidRPr="008023C3" w:rsidRDefault="008023C3" w:rsidP="00C21752">
            <w:pPr>
              <w:pStyle w:val="Tablebullet"/>
              <w:spacing w:before="0" w:after="0"/>
            </w:pPr>
            <w:r w:rsidRPr="008023C3">
              <w:t>Action oriented</w:t>
            </w:r>
          </w:p>
          <w:p w14:paraId="56DB5F06" w14:textId="77777777" w:rsidR="008023C3" w:rsidRPr="008023C3" w:rsidRDefault="005848D3" w:rsidP="00C21752">
            <w:pPr>
              <w:pStyle w:val="Tablebullet"/>
              <w:spacing w:before="0" w:after="0"/>
            </w:pPr>
            <w:r w:rsidRPr="008023C3">
              <w:t>Self-development</w:t>
            </w:r>
            <w:r w:rsidR="008023C3" w:rsidRPr="008023C3">
              <w:t xml:space="preserve"> and learning</w:t>
            </w:r>
          </w:p>
          <w:p w14:paraId="56DB5F07" w14:textId="77777777" w:rsidR="008023C3" w:rsidRPr="008023C3" w:rsidRDefault="008023C3" w:rsidP="00C21752">
            <w:pPr>
              <w:pStyle w:val="Tablebullet"/>
              <w:spacing w:before="0" w:after="0"/>
            </w:pPr>
            <w:r w:rsidRPr="008023C3">
              <w:t>Functional and technical skills</w:t>
            </w:r>
          </w:p>
        </w:tc>
        <w:tc>
          <w:tcPr>
            <w:tcW w:w="4874" w:type="dxa"/>
            <w:tcBorders>
              <w:top w:val="nil"/>
              <w:left w:val="single" w:sz="6" w:space="0" w:color="1F546B" w:themeColor="text2"/>
              <w:bottom w:val="single" w:sz="6" w:space="0" w:color="1F546B" w:themeColor="text2"/>
              <w:right w:val="nil"/>
            </w:tcBorders>
          </w:tcPr>
          <w:p w14:paraId="56DB5F08" w14:textId="77777777" w:rsidR="008023C3" w:rsidRPr="001D30D4" w:rsidRDefault="008023C3" w:rsidP="00C21752">
            <w:pPr>
              <w:pStyle w:val="Tablenormal0"/>
              <w:spacing w:before="0" w:after="0"/>
              <w:rPr>
                <w:b/>
                <w:bCs/>
              </w:rPr>
            </w:pPr>
            <w:r w:rsidRPr="001D30D4">
              <w:rPr>
                <w:b/>
                <w:bCs/>
              </w:rPr>
              <w:t xml:space="preserve">Experience: </w:t>
            </w:r>
          </w:p>
          <w:p w14:paraId="56DB5F09" w14:textId="77777777" w:rsidR="00E3093E" w:rsidRDefault="00E3093E" w:rsidP="00C21752">
            <w:pPr>
              <w:pStyle w:val="Tablebullet"/>
              <w:spacing w:before="0" w:after="0"/>
            </w:pPr>
            <w:r>
              <w:t xml:space="preserve">Experience in an administrative or customer service role </w:t>
            </w:r>
          </w:p>
          <w:p w14:paraId="56DB5F0A" w14:textId="77777777" w:rsidR="00E3093E" w:rsidRDefault="00E3093E" w:rsidP="00C21752">
            <w:pPr>
              <w:pStyle w:val="Tablebullet"/>
              <w:spacing w:before="0" w:after="0"/>
            </w:pPr>
            <w:r>
              <w:t xml:space="preserve">Experience working in a regulatory and compliance function is highly desirable </w:t>
            </w:r>
          </w:p>
          <w:p w14:paraId="56DB5F0B" w14:textId="77777777" w:rsidR="00E3093E" w:rsidRDefault="00E3093E" w:rsidP="00C21752">
            <w:pPr>
              <w:pStyle w:val="Tablebullet"/>
              <w:spacing w:before="0" w:after="0"/>
            </w:pPr>
            <w:r>
              <w:t>Experience in researching, analysing, and summarising information would be beneficial</w:t>
            </w:r>
          </w:p>
          <w:p w14:paraId="56DB5F0C" w14:textId="77777777" w:rsidR="008023C3" w:rsidRDefault="00E3093E" w:rsidP="00C21752">
            <w:pPr>
              <w:pStyle w:val="Tablebullet"/>
              <w:numPr>
                <w:ilvl w:val="0"/>
                <w:numId w:val="0"/>
              </w:numPr>
              <w:spacing w:before="0" w:after="0"/>
              <w:rPr>
                <w:rFonts w:eastAsia="Calibri" w:cs="Calibri"/>
                <w:b/>
              </w:rPr>
            </w:pPr>
            <w:r>
              <w:rPr>
                <w:rFonts w:eastAsia="Calibri" w:cs="Calibri"/>
                <w:b/>
              </w:rPr>
              <w:t>Knowledge:</w:t>
            </w:r>
          </w:p>
          <w:p w14:paraId="56DB5F0D" w14:textId="77777777" w:rsidR="00C21752" w:rsidRDefault="00C21752" w:rsidP="00C21752">
            <w:pPr>
              <w:pStyle w:val="Tablebullet"/>
              <w:spacing w:before="0" w:after="0"/>
            </w:pPr>
            <w:r>
              <w:t>An understanding of regulatory and compliance functions and purpose</w:t>
            </w:r>
          </w:p>
          <w:p w14:paraId="56DB5F0E" w14:textId="77777777" w:rsidR="00E3093E" w:rsidRPr="001D30D4" w:rsidRDefault="00C21752" w:rsidP="00C21752">
            <w:pPr>
              <w:pStyle w:val="Tablebullet"/>
              <w:spacing w:before="0" w:after="0"/>
            </w:pPr>
            <w:r>
              <w:t>Understanding the public sector</w:t>
            </w:r>
          </w:p>
          <w:p w14:paraId="56DB5F0F" w14:textId="77777777" w:rsidR="008023C3" w:rsidRPr="001D30D4" w:rsidRDefault="008023C3" w:rsidP="00C21752">
            <w:pPr>
              <w:pStyle w:val="Tablenormal0"/>
              <w:spacing w:before="0" w:after="0"/>
              <w:rPr>
                <w:b/>
                <w:bCs/>
              </w:rPr>
            </w:pPr>
            <w:r w:rsidRPr="001D30D4">
              <w:rPr>
                <w:b/>
                <w:bCs/>
              </w:rPr>
              <w:t>Skills:</w:t>
            </w:r>
          </w:p>
          <w:p w14:paraId="56DB5F10" w14:textId="77777777" w:rsidR="00C21752" w:rsidRDefault="00C21752" w:rsidP="00C21752">
            <w:pPr>
              <w:pStyle w:val="Tablebullet"/>
              <w:spacing w:before="0" w:after="0"/>
            </w:pPr>
            <w:r>
              <w:t xml:space="preserve">Good computer literacy skills, and ability to understand and improve business systems and processes </w:t>
            </w:r>
          </w:p>
          <w:p w14:paraId="56DB5F11" w14:textId="77777777" w:rsidR="00C21752" w:rsidRDefault="00C21752" w:rsidP="00C21752">
            <w:pPr>
              <w:pStyle w:val="Tablebullet"/>
              <w:spacing w:before="0" w:after="0"/>
            </w:pPr>
            <w:r>
              <w:t xml:space="preserve">Attention to detail and high levels of accuracy </w:t>
            </w:r>
          </w:p>
          <w:p w14:paraId="56DB5F12" w14:textId="77777777" w:rsidR="00C21752" w:rsidRDefault="00C21752" w:rsidP="00C21752">
            <w:pPr>
              <w:pStyle w:val="Tablebullet"/>
              <w:spacing w:before="0" w:after="0"/>
            </w:pPr>
            <w:r>
              <w:t xml:space="preserve">Some ability in interpreting legislation and </w:t>
            </w:r>
            <w:r>
              <w:lastRenderedPageBreak/>
              <w:t xml:space="preserve">other technical information and applying it in an operational context </w:t>
            </w:r>
          </w:p>
          <w:p w14:paraId="56DB5F13" w14:textId="77777777" w:rsidR="00C21752" w:rsidRDefault="00C21752" w:rsidP="00C21752">
            <w:pPr>
              <w:pStyle w:val="Tablebullet"/>
              <w:spacing w:before="0" w:after="0"/>
            </w:pPr>
            <w:r>
              <w:t xml:space="preserve">High standard of verbal and written communication skills </w:t>
            </w:r>
          </w:p>
          <w:p w14:paraId="56DB5F14" w14:textId="77777777" w:rsidR="00C21752" w:rsidRDefault="00C21752" w:rsidP="00C21752">
            <w:pPr>
              <w:pStyle w:val="Tablebullet"/>
              <w:spacing w:before="0" w:after="0"/>
            </w:pPr>
            <w:r>
              <w:t xml:space="preserve">Strong commitment to excellent customer </w:t>
            </w:r>
          </w:p>
          <w:p w14:paraId="56DB5F15" w14:textId="77777777" w:rsidR="00C21752" w:rsidRDefault="00C21752" w:rsidP="00C21752">
            <w:pPr>
              <w:spacing w:before="0" w:after="0" w:line="259" w:lineRule="auto"/>
              <w:ind w:left="359"/>
            </w:pPr>
            <w:r>
              <w:t xml:space="preserve">service  </w:t>
            </w:r>
          </w:p>
          <w:p w14:paraId="56DB5F16" w14:textId="77777777" w:rsidR="00C21752" w:rsidRDefault="00C21752" w:rsidP="00C21752">
            <w:pPr>
              <w:pStyle w:val="Tablebullet"/>
              <w:spacing w:before="0" w:after="0"/>
            </w:pPr>
            <w:r>
              <w:t xml:space="preserve">Shows drive, enthusiasm, self-motivation and initiative independent of the direction of others </w:t>
            </w:r>
          </w:p>
          <w:p w14:paraId="56DB5F17" w14:textId="77777777" w:rsidR="00C21752" w:rsidRDefault="00C21752" w:rsidP="00C21752">
            <w:pPr>
              <w:pStyle w:val="Tablebullet"/>
              <w:spacing w:before="0" w:after="0"/>
            </w:pPr>
            <w:r>
              <w:t xml:space="preserve">Takes a planned approach but responds with agility and flexibility to change  </w:t>
            </w:r>
          </w:p>
          <w:p w14:paraId="56DB5F18" w14:textId="77777777" w:rsidR="00C21752" w:rsidRDefault="00C21752" w:rsidP="00C21752">
            <w:pPr>
              <w:pStyle w:val="Tablebullet"/>
              <w:spacing w:before="0" w:after="0"/>
            </w:pPr>
            <w:r>
              <w:t xml:space="preserve">Thinks creatively and makes a positive contribution to solution development </w:t>
            </w:r>
          </w:p>
          <w:p w14:paraId="56DB5F19" w14:textId="77777777" w:rsidR="00C21752" w:rsidRDefault="00C21752" w:rsidP="00C21752">
            <w:pPr>
              <w:pStyle w:val="Tablebullet"/>
              <w:spacing w:before="0" w:after="0"/>
            </w:pPr>
            <w:r>
              <w:t xml:space="preserve">Demonstrates commitment and resilience in the face of challenges </w:t>
            </w:r>
          </w:p>
          <w:p w14:paraId="56DB5F1A" w14:textId="77777777" w:rsidR="008023C3" w:rsidRPr="001D30D4" w:rsidRDefault="00C21752" w:rsidP="00C21752">
            <w:pPr>
              <w:pStyle w:val="Tablebullet"/>
              <w:spacing w:before="0" w:after="0"/>
            </w:pPr>
            <w:r>
              <w:t>A willingness to build own subject matter and technical expertise, including an understanding of the Department’s role as a responsive risk based regulator</w:t>
            </w:r>
          </w:p>
          <w:p w14:paraId="56DB5F1B" w14:textId="77777777" w:rsidR="008023C3" w:rsidRPr="001D30D4" w:rsidRDefault="008023C3" w:rsidP="00C21752">
            <w:pPr>
              <w:pStyle w:val="Tablenormal0"/>
              <w:spacing w:before="0" w:after="0"/>
              <w:rPr>
                <w:b/>
                <w:bCs/>
              </w:rPr>
            </w:pPr>
            <w:r w:rsidRPr="001D30D4">
              <w:rPr>
                <w:b/>
                <w:bCs/>
              </w:rPr>
              <w:t>Other requirements:</w:t>
            </w:r>
          </w:p>
          <w:p w14:paraId="56DB5F1C" w14:textId="77777777" w:rsidR="00C21752" w:rsidRDefault="00C21752" w:rsidP="00C21752">
            <w:pPr>
              <w:pStyle w:val="Tablebullet"/>
              <w:spacing w:before="0" w:after="0"/>
            </w:pPr>
            <w:r>
              <w:t xml:space="preserve">A relevant tertiary qualification is highly desirable </w:t>
            </w:r>
          </w:p>
          <w:p w14:paraId="56DB5F1D" w14:textId="77777777" w:rsidR="00C21752" w:rsidRDefault="00C21752" w:rsidP="00C21752">
            <w:pPr>
              <w:pStyle w:val="Tablebullet"/>
              <w:spacing w:before="0" w:after="0"/>
            </w:pPr>
            <w:r>
              <w:t xml:space="preserve">20 years of age or over as entry to casinos may be required. </w:t>
            </w:r>
          </w:p>
          <w:p w14:paraId="56DB5F1E" w14:textId="77777777" w:rsidR="00C21752" w:rsidRDefault="00C21752" w:rsidP="00C21752">
            <w:pPr>
              <w:pStyle w:val="Tablebullet"/>
              <w:spacing w:before="0" w:after="0"/>
            </w:pPr>
            <w:r>
              <w:t xml:space="preserve">This role may require limited travel within </w:t>
            </w:r>
          </w:p>
          <w:p w14:paraId="56DB5F1F" w14:textId="77777777" w:rsidR="00C21752" w:rsidRDefault="00C21752" w:rsidP="00C21752">
            <w:pPr>
              <w:spacing w:before="0" w:after="0" w:line="259" w:lineRule="auto"/>
              <w:ind w:left="359"/>
            </w:pPr>
            <w:r>
              <w:t xml:space="preserve">New Zealand  </w:t>
            </w:r>
          </w:p>
          <w:p w14:paraId="56DB5F20" w14:textId="77777777" w:rsidR="00C21752" w:rsidRDefault="00C21752" w:rsidP="00C21752">
            <w:pPr>
              <w:pStyle w:val="Tablebullet"/>
              <w:spacing w:before="0" w:after="0"/>
            </w:pPr>
            <w:r>
              <w:t xml:space="preserve">The appointee will be subject to police and credit clearance before an appointment is made </w:t>
            </w:r>
          </w:p>
          <w:p w14:paraId="56DB5F21" w14:textId="77777777" w:rsidR="00C21752" w:rsidRDefault="00C21752" w:rsidP="00C21752">
            <w:pPr>
              <w:pStyle w:val="Tablebullet"/>
              <w:spacing w:before="0" w:after="0"/>
            </w:pPr>
            <w:r>
              <w:t xml:space="preserve">The appointee must be able to obtain and maintain a confidential security clearance. Failure to obtain or maintain the required level of security clearance for this role may result in the appointee not being able to take up this role or, if the appointee has already started working in the role, they may not be able to continue their employment in this role </w:t>
            </w:r>
          </w:p>
          <w:p w14:paraId="56DB5F22" w14:textId="77777777" w:rsidR="00C21752" w:rsidRDefault="00C21752" w:rsidP="00C21752">
            <w:pPr>
              <w:numPr>
                <w:ilvl w:val="0"/>
                <w:numId w:val="46"/>
              </w:numPr>
              <w:spacing w:before="0" w:after="0"/>
              <w:ind w:hanging="358"/>
            </w:pPr>
            <w:r>
              <w:t xml:space="preserve">This position is expected to be appointed as a Enforcement Officer under the Anti Money Laundering and Countering Financing of Terrorism Act 2009 and may exercise any powers and subject to any conditions associated with that statutory role </w:t>
            </w:r>
          </w:p>
          <w:p w14:paraId="56DB5F23" w14:textId="77777777" w:rsidR="00C21752" w:rsidRPr="001D30D4" w:rsidRDefault="00C21752" w:rsidP="00C21752">
            <w:pPr>
              <w:pStyle w:val="Tablebullet"/>
              <w:spacing w:before="0" w:after="0"/>
            </w:pPr>
            <w:r>
              <w:t>A current full drivers licence is desirable</w:t>
            </w:r>
          </w:p>
        </w:tc>
      </w:tr>
    </w:tbl>
    <w:p w14:paraId="56DB5F25" w14:textId="77777777" w:rsidR="001676BD" w:rsidRPr="00B90EE6" w:rsidRDefault="001676BD" w:rsidP="00B90EE6">
      <w:pPr>
        <w:pStyle w:val="Tinyline"/>
      </w:pPr>
    </w:p>
    <w:sectPr w:rsidR="001676BD" w:rsidRPr="00B90EE6" w:rsidSect="00E3093E">
      <w:headerReference w:type="default" r:id="rId14"/>
      <w:footerReference w:type="default" r:id="rId15"/>
      <w:headerReference w:type="first" r:id="rId16"/>
      <w:footerReference w:type="first" r:id="rId17"/>
      <w:pgSz w:w="11907" w:h="16840" w:code="9"/>
      <w:pgMar w:top="1134" w:right="1134" w:bottom="992" w:left="1134"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B5F2D" w14:textId="77777777" w:rsidR="00E3093E" w:rsidRDefault="00E3093E">
      <w:r>
        <w:separator/>
      </w:r>
    </w:p>
    <w:p w14:paraId="56DB5F2E" w14:textId="77777777" w:rsidR="00E3093E" w:rsidRDefault="00E3093E"/>
    <w:p w14:paraId="56DB5F2F" w14:textId="77777777" w:rsidR="00E3093E" w:rsidRDefault="00E3093E"/>
  </w:endnote>
  <w:endnote w:type="continuationSeparator" w:id="0">
    <w:p w14:paraId="56DB5F30" w14:textId="77777777" w:rsidR="00E3093E" w:rsidRDefault="00E3093E">
      <w:r>
        <w:continuationSeparator/>
      </w:r>
    </w:p>
    <w:p w14:paraId="56DB5F31" w14:textId="77777777" w:rsidR="00E3093E" w:rsidRDefault="00E3093E"/>
    <w:p w14:paraId="56DB5F32" w14:textId="77777777" w:rsidR="00E3093E" w:rsidRDefault="00E30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unga">
    <w:panose1 w:val="00000400000000000000"/>
    <w:charset w:val="00"/>
    <w:family w:val="auto"/>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5F35" w14:textId="77777777"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263C5B">
      <w:rPr>
        <w:noProof/>
      </w:rPr>
      <w:t>4</w:t>
    </w:r>
    <w:r>
      <w:fldChar w:fldCharType="end"/>
    </w:r>
    <w:r>
      <w:t xml:space="preserve"> of </w:t>
    </w:r>
    <w:r w:rsidR="00A85851">
      <w:rPr>
        <w:noProof/>
      </w:rPr>
      <w:fldChar w:fldCharType="begin"/>
    </w:r>
    <w:r w:rsidR="00A85851">
      <w:rPr>
        <w:noProof/>
      </w:rPr>
      <w:instrText xml:space="preserve"> NUMPAGES   \* MERGEF</w:instrText>
    </w:r>
    <w:r w:rsidR="00A85851">
      <w:rPr>
        <w:noProof/>
      </w:rPr>
      <w:instrText xml:space="preserve">ORMAT </w:instrText>
    </w:r>
    <w:r w:rsidR="00A85851">
      <w:rPr>
        <w:noProof/>
      </w:rPr>
      <w:fldChar w:fldCharType="separate"/>
    </w:r>
    <w:r w:rsidR="00263C5B">
      <w:rPr>
        <w:noProof/>
      </w:rPr>
      <w:t>5</w:t>
    </w:r>
    <w:r w:rsidR="00A858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5F37" w14:textId="77777777" w:rsidR="003F52D2" w:rsidRDefault="00B110CD" w:rsidP="00B110CD">
    <w:pPr>
      <w:pStyle w:val="Footer"/>
      <w:tabs>
        <w:tab w:val="right" w:pos="9639"/>
      </w:tabs>
      <w:ind w:right="-1"/>
      <w:jc w:val="right"/>
    </w:pPr>
    <w:r>
      <w:rPr>
        <w:noProof/>
        <w:lang w:eastAsia="en-NZ"/>
      </w:rPr>
      <w:drawing>
        <wp:inline distT="0" distB="0" distL="0" distR="0" wp14:anchorId="56DB5F3A" wp14:editId="56DB5F3B">
          <wp:extent cx="2335530" cy="633095"/>
          <wp:effectExtent l="0" t="0" r="0" b="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B5F28" w14:textId="77777777" w:rsidR="00E3093E" w:rsidRDefault="00E3093E" w:rsidP="00FB1990">
      <w:pPr>
        <w:pStyle w:val="Spacer"/>
      </w:pPr>
      <w:r>
        <w:separator/>
      </w:r>
    </w:p>
    <w:p w14:paraId="56DB5F29" w14:textId="77777777" w:rsidR="00E3093E" w:rsidRDefault="00E3093E" w:rsidP="00FB1990">
      <w:pPr>
        <w:pStyle w:val="Spacer"/>
      </w:pPr>
    </w:p>
  </w:footnote>
  <w:footnote w:type="continuationSeparator" w:id="0">
    <w:p w14:paraId="56DB5F2A" w14:textId="77777777" w:rsidR="00E3093E" w:rsidRDefault="00E3093E">
      <w:r>
        <w:continuationSeparator/>
      </w:r>
    </w:p>
    <w:p w14:paraId="56DB5F2B" w14:textId="77777777" w:rsidR="00E3093E" w:rsidRDefault="00E3093E"/>
    <w:p w14:paraId="56DB5F2C" w14:textId="77777777" w:rsidR="00E3093E" w:rsidRDefault="00E309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5F33" w14:textId="77777777" w:rsidR="00B30B8E" w:rsidRDefault="00B30B8E" w:rsidP="00C40EAE">
    <w:pPr>
      <w:pStyle w:val="Header"/>
      <w:jc w:val="right"/>
    </w:pPr>
    <w:r w:rsidRPr="00CD3498">
      <w:tab/>
      <w:t>Te Tari Taiwhenua</w:t>
    </w:r>
  </w:p>
  <w:p w14:paraId="56DB5F34" w14:textId="77777777" w:rsidR="003F52D2" w:rsidRPr="00B30B8E" w:rsidRDefault="00B30B8E" w:rsidP="00B30B8E">
    <w:pPr>
      <w:pStyle w:val="Header"/>
      <w:jc w:val="right"/>
    </w:pPr>
    <w:r w:rsidRPr="00CD3498">
      <w:tab/>
      <w:t>Department of Internal Affairs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5F36" w14:textId="77777777" w:rsidR="003F52D2" w:rsidRDefault="003F52D2">
    <w:pPr>
      <w:pStyle w:val="Header"/>
    </w:pPr>
    <w:r>
      <w:rPr>
        <w:noProof/>
        <w:lang w:eastAsia="en-NZ"/>
      </w:rPr>
      <w:drawing>
        <wp:anchor distT="0" distB="0" distL="114300" distR="114300" simplePos="0" relativeHeight="251660288" behindDoc="0" locked="0" layoutInCell="1" allowOverlap="1" wp14:anchorId="56DB5F38" wp14:editId="56DB5F39">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5122214"/>
    <w:multiLevelType w:val="hybridMultilevel"/>
    <w:tmpl w:val="0324D4E8"/>
    <w:lvl w:ilvl="0" w:tplc="43C65F98">
      <w:start w:val="1"/>
      <w:numFmt w:val="bullet"/>
      <w:lvlText w:val="•"/>
      <w:lvlJc w:val="left"/>
      <w:pPr>
        <w:ind w:left="3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03EC89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EF8B5A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186CE5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ADE291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FF00DD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C06421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98E27A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0E4F26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D043235"/>
    <w:multiLevelType w:val="hybridMultilevel"/>
    <w:tmpl w:val="95BCF55E"/>
    <w:lvl w:ilvl="0" w:tplc="AFCCD420">
      <w:start w:val="1"/>
      <w:numFmt w:val="bullet"/>
      <w:lvlText w:val="•"/>
      <w:lvlJc w:val="left"/>
      <w:pPr>
        <w:ind w:left="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0CC654C">
      <w:start w:val="1"/>
      <w:numFmt w:val="bullet"/>
      <w:lvlText w:val="o"/>
      <w:lvlJc w:val="left"/>
      <w:pPr>
        <w:ind w:left="12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8EEAD9E">
      <w:start w:val="1"/>
      <w:numFmt w:val="bullet"/>
      <w:lvlText w:val="▪"/>
      <w:lvlJc w:val="left"/>
      <w:pPr>
        <w:ind w:left="20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A260FEA">
      <w:start w:val="1"/>
      <w:numFmt w:val="bullet"/>
      <w:lvlText w:val="•"/>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84038AC">
      <w:start w:val="1"/>
      <w:numFmt w:val="bullet"/>
      <w:lvlText w:val="o"/>
      <w:lvlJc w:val="left"/>
      <w:pPr>
        <w:ind w:left="34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1B43C40">
      <w:start w:val="1"/>
      <w:numFmt w:val="bullet"/>
      <w:lvlText w:val="▪"/>
      <w:lvlJc w:val="left"/>
      <w:pPr>
        <w:ind w:left="41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C5271C2">
      <w:start w:val="1"/>
      <w:numFmt w:val="bullet"/>
      <w:lvlText w:val="•"/>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510A982">
      <w:start w:val="1"/>
      <w:numFmt w:val="bullet"/>
      <w:lvlText w:val="o"/>
      <w:lvlJc w:val="left"/>
      <w:pPr>
        <w:ind w:left="56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B52346E">
      <w:start w:val="1"/>
      <w:numFmt w:val="bullet"/>
      <w:lvlText w:val="▪"/>
      <w:lvlJc w:val="left"/>
      <w:pPr>
        <w:ind w:left="63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09B75B7"/>
    <w:multiLevelType w:val="hybridMultilevel"/>
    <w:tmpl w:val="FF923E04"/>
    <w:lvl w:ilvl="0" w:tplc="94FC1B70">
      <w:start w:val="1"/>
      <w:numFmt w:val="bullet"/>
      <w:lvlText w:val="•"/>
      <w:lvlJc w:val="left"/>
      <w:pPr>
        <w:ind w:left="36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4233BF"/>
    <w:multiLevelType w:val="hybridMultilevel"/>
    <w:tmpl w:val="D29065D6"/>
    <w:lvl w:ilvl="0" w:tplc="94FC1B70">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43825BC"/>
    <w:multiLevelType w:val="hybridMultilevel"/>
    <w:tmpl w:val="8BF85424"/>
    <w:lvl w:ilvl="0" w:tplc="64CA25A4">
      <w:start w:val="1"/>
      <w:numFmt w:val="bullet"/>
      <w:lvlText w:val="•"/>
      <w:lvlJc w:val="left"/>
      <w:pPr>
        <w:ind w:left="4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8988702">
      <w:start w:val="1"/>
      <w:numFmt w:val="bullet"/>
      <w:lvlText w:val="o"/>
      <w:lvlJc w:val="left"/>
      <w:pPr>
        <w:ind w:left="12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0FC9F8A">
      <w:start w:val="1"/>
      <w:numFmt w:val="bullet"/>
      <w:lvlText w:val="▪"/>
      <w:lvlJc w:val="left"/>
      <w:pPr>
        <w:ind w:left="20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7606B66">
      <w:start w:val="1"/>
      <w:numFmt w:val="bullet"/>
      <w:lvlText w:val="•"/>
      <w:lvlJc w:val="left"/>
      <w:pPr>
        <w:ind w:left="27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6F8ECB8">
      <w:start w:val="1"/>
      <w:numFmt w:val="bullet"/>
      <w:lvlText w:val="o"/>
      <w:lvlJc w:val="left"/>
      <w:pPr>
        <w:ind w:left="34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290548C">
      <w:start w:val="1"/>
      <w:numFmt w:val="bullet"/>
      <w:lvlText w:val="▪"/>
      <w:lvlJc w:val="left"/>
      <w:pPr>
        <w:ind w:left="41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DB88F08">
      <w:start w:val="1"/>
      <w:numFmt w:val="bullet"/>
      <w:lvlText w:val="•"/>
      <w:lvlJc w:val="left"/>
      <w:pPr>
        <w:ind w:left="48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50AEF02">
      <w:start w:val="1"/>
      <w:numFmt w:val="bullet"/>
      <w:lvlText w:val="o"/>
      <w:lvlJc w:val="left"/>
      <w:pPr>
        <w:ind w:left="56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96AB9CC">
      <w:start w:val="1"/>
      <w:numFmt w:val="bullet"/>
      <w:lvlText w:val="▪"/>
      <w:lvlJc w:val="left"/>
      <w:pPr>
        <w:ind w:left="63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3"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4"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15:restartNumberingAfterBreak="0">
    <w:nsid w:val="605A2C89"/>
    <w:multiLevelType w:val="hybridMultilevel"/>
    <w:tmpl w:val="5FD61BD2"/>
    <w:lvl w:ilvl="0" w:tplc="8F6499C2">
      <w:start w:val="1"/>
      <w:numFmt w:val="bullet"/>
      <w:lvlText w:val="•"/>
      <w:lvlJc w:val="left"/>
      <w:pPr>
        <w:ind w:left="4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7EE02B2">
      <w:start w:val="1"/>
      <w:numFmt w:val="bullet"/>
      <w:lvlText w:val="o"/>
      <w:lvlJc w:val="left"/>
      <w:pPr>
        <w:ind w:left="13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DC4DF0E">
      <w:start w:val="1"/>
      <w:numFmt w:val="bullet"/>
      <w:lvlText w:val="▪"/>
      <w:lvlJc w:val="left"/>
      <w:pPr>
        <w:ind w:left="20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37E4018">
      <w:start w:val="1"/>
      <w:numFmt w:val="bullet"/>
      <w:lvlText w:val="•"/>
      <w:lvlJc w:val="left"/>
      <w:pPr>
        <w:ind w:left="27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F42F60">
      <w:start w:val="1"/>
      <w:numFmt w:val="bullet"/>
      <w:lvlText w:val="o"/>
      <w:lvlJc w:val="left"/>
      <w:pPr>
        <w:ind w:left="34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46876AE">
      <w:start w:val="1"/>
      <w:numFmt w:val="bullet"/>
      <w:lvlText w:val="▪"/>
      <w:lvlJc w:val="left"/>
      <w:pPr>
        <w:ind w:left="41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E1854AA">
      <w:start w:val="1"/>
      <w:numFmt w:val="bullet"/>
      <w:lvlText w:val="•"/>
      <w:lvlJc w:val="left"/>
      <w:pPr>
        <w:ind w:left="49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9A44ECE">
      <w:start w:val="1"/>
      <w:numFmt w:val="bullet"/>
      <w:lvlText w:val="o"/>
      <w:lvlJc w:val="left"/>
      <w:pPr>
        <w:ind w:left="56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09CD79A">
      <w:start w:val="1"/>
      <w:numFmt w:val="bullet"/>
      <w:lvlText w:val="▪"/>
      <w:lvlJc w:val="left"/>
      <w:pPr>
        <w:ind w:left="63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15:restartNumberingAfterBreak="0">
    <w:nsid w:val="678A7172"/>
    <w:multiLevelType w:val="hybridMultilevel"/>
    <w:tmpl w:val="0620486E"/>
    <w:lvl w:ilvl="0" w:tplc="1382E2FE">
      <w:start w:val="1"/>
      <w:numFmt w:val="bullet"/>
      <w:lvlText w:val="•"/>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F4CECE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61A816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352829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08AFA4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BF2299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A34649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5389AD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0CAD34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69146783"/>
    <w:multiLevelType w:val="hybridMultilevel"/>
    <w:tmpl w:val="CCF6B912"/>
    <w:lvl w:ilvl="0" w:tplc="94FC1B70">
      <w:start w:val="1"/>
      <w:numFmt w:val="bullet"/>
      <w:lvlText w:val="•"/>
      <w:lvlJc w:val="left"/>
      <w:pPr>
        <w:ind w:left="4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0269632">
      <w:start w:val="1"/>
      <w:numFmt w:val="bullet"/>
      <w:lvlText w:val="o"/>
      <w:lvlJc w:val="left"/>
      <w:pPr>
        <w:ind w:left="13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35201A0">
      <w:start w:val="1"/>
      <w:numFmt w:val="bullet"/>
      <w:lvlText w:val="▪"/>
      <w:lvlJc w:val="left"/>
      <w:pPr>
        <w:ind w:left="20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E162B5A">
      <w:start w:val="1"/>
      <w:numFmt w:val="bullet"/>
      <w:lvlText w:val="•"/>
      <w:lvlJc w:val="left"/>
      <w:pPr>
        <w:ind w:left="27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7EF7A0">
      <w:start w:val="1"/>
      <w:numFmt w:val="bullet"/>
      <w:lvlText w:val="o"/>
      <w:lvlJc w:val="left"/>
      <w:pPr>
        <w:ind w:left="34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FA8C75A">
      <w:start w:val="1"/>
      <w:numFmt w:val="bullet"/>
      <w:lvlText w:val="▪"/>
      <w:lvlJc w:val="left"/>
      <w:pPr>
        <w:ind w:left="41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DE08580">
      <w:start w:val="1"/>
      <w:numFmt w:val="bullet"/>
      <w:lvlText w:val="•"/>
      <w:lvlJc w:val="left"/>
      <w:pPr>
        <w:ind w:left="49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780F2E6">
      <w:start w:val="1"/>
      <w:numFmt w:val="bullet"/>
      <w:lvlText w:val="o"/>
      <w:lvlJc w:val="left"/>
      <w:pPr>
        <w:ind w:left="56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2061652">
      <w:start w:val="1"/>
      <w:numFmt w:val="bullet"/>
      <w:lvlText w:val="▪"/>
      <w:lvlJc w:val="left"/>
      <w:pPr>
        <w:ind w:left="63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6A3003C5"/>
    <w:multiLevelType w:val="hybridMultilevel"/>
    <w:tmpl w:val="AB240238"/>
    <w:lvl w:ilvl="0" w:tplc="9C2E4146">
      <w:start w:val="1"/>
      <w:numFmt w:val="bullet"/>
      <w:lvlText w:val="•"/>
      <w:lvlJc w:val="left"/>
      <w:pPr>
        <w:ind w:left="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C27832">
      <w:start w:val="1"/>
      <w:numFmt w:val="bullet"/>
      <w:lvlText w:val="o"/>
      <w:lvlJc w:val="left"/>
      <w:pPr>
        <w:ind w:left="12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14249F4">
      <w:start w:val="1"/>
      <w:numFmt w:val="bullet"/>
      <w:lvlText w:val="▪"/>
      <w:lvlJc w:val="left"/>
      <w:pPr>
        <w:ind w:left="20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4769E7E">
      <w:start w:val="1"/>
      <w:numFmt w:val="bullet"/>
      <w:lvlText w:val="•"/>
      <w:lvlJc w:val="left"/>
      <w:pPr>
        <w:ind w:left="2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CE028A4">
      <w:start w:val="1"/>
      <w:numFmt w:val="bullet"/>
      <w:lvlText w:val="o"/>
      <w:lvlJc w:val="left"/>
      <w:pPr>
        <w:ind w:left="34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81A3006">
      <w:start w:val="1"/>
      <w:numFmt w:val="bullet"/>
      <w:lvlText w:val="▪"/>
      <w:lvlJc w:val="left"/>
      <w:pPr>
        <w:ind w:left="41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5643068">
      <w:start w:val="1"/>
      <w:numFmt w:val="bullet"/>
      <w:lvlText w:val="•"/>
      <w:lvlJc w:val="left"/>
      <w:pPr>
        <w:ind w:left="4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B8F3A4">
      <w:start w:val="1"/>
      <w:numFmt w:val="bullet"/>
      <w:lvlText w:val="o"/>
      <w:lvlJc w:val="left"/>
      <w:pPr>
        <w:ind w:left="56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48C4716">
      <w:start w:val="1"/>
      <w:numFmt w:val="bullet"/>
      <w:lvlText w:val="▪"/>
      <w:lvlJc w:val="left"/>
      <w:pPr>
        <w:ind w:left="63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3" w15:restartNumberingAfterBreak="0">
    <w:nsid w:val="6C065F43"/>
    <w:multiLevelType w:val="hybridMultilevel"/>
    <w:tmpl w:val="C8084F18"/>
    <w:lvl w:ilvl="0" w:tplc="C4D6EE90">
      <w:start w:val="1"/>
      <w:numFmt w:val="bullet"/>
      <w:lvlText w:val="•"/>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F363F1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F34DA0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4661CD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B8EF2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FDA12D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892DF5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8A8C5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4581DF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5" w15:restartNumberingAfterBreak="0">
    <w:nsid w:val="73BB3087"/>
    <w:multiLevelType w:val="hybridMultilevel"/>
    <w:tmpl w:val="F0A464A4"/>
    <w:lvl w:ilvl="0" w:tplc="85EC47DE">
      <w:start w:val="1"/>
      <w:numFmt w:val="bullet"/>
      <w:lvlText w:val="•"/>
      <w:lvlJc w:val="left"/>
      <w:pPr>
        <w:ind w:left="4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3CB2B0">
      <w:start w:val="1"/>
      <w:numFmt w:val="bullet"/>
      <w:lvlText w:val="o"/>
      <w:lvlJc w:val="left"/>
      <w:pPr>
        <w:ind w:left="13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350B83E">
      <w:start w:val="1"/>
      <w:numFmt w:val="bullet"/>
      <w:lvlText w:val="▪"/>
      <w:lvlJc w:val="left"/>
      <w:pPr>
        <w:ind w:left="20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B68C98">
      <w:start w:val="1"/>
      <w:numFmt w:val="bullet"/>
      <w:lvlText w:val="•"/>
      <w:lvlJc w:val="left"/>
      <w:pPr>
        <w:ind w:left="2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4DA6FCE">
      <w:start w:val="1"/>
      <w:numFmt w:val="bullet"/>
      <w:lvlText w:val="o"/>
      <w:lvlJc w:val="left"/>
      <w:pPr>
        <w:ind w:left="34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626BCAA">
      <w:start w:val="1"/>
      <w:numFmt w:val="bullet"/>
      <w:lvlText w:val="▪"/>
      <w:lvlJc w:val="left"/>
      <w:pPr>
        <w:ind w:left="41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0D0EF0A">
      <w:start w:val="1"/>
      <w:numFmt w:val="bullet"/>
      <w:lvlText w:val="•"/>
      <w:lvlJc w:val="left"/>
      <w:pPr>
        <w:ind w:left="4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D8E628">
      <w:start w:val="1"/>
      <w:numFmt w:val="bullet"/>
      <w:lvlText w:val="o"/>
      <w:lvlJc w:val="left"/>
      <w:pPr>
        <w:ind w:left="56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0F8A47C">
      <w:start w:val="1"/>
      <w:numFmt w:val="bullet"/>
      <w:lvlText w:val="▪"/>
      <w:lvlJc w:val="left"/>
      <w:pPr>
        <w:ind w:left="63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765157B7"/>
    <w:multiLevelType w:val="hybridMultilevel"/>
    <w:tmpl w:val="B3CC313C"/>
    <w:lvl w:ilvl="0" w:tplc="5920B200">
      <w:start w:val="1"/>
      <w:numFmt w:val="bullet"/>
      <w:lvlText w:val="•"/>
      <w:lvlJc w:val="left"/>
      <w:pPr>
        <w:ind w:left="4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E405AAA">
      <w:start w:val="1"/>
      <w:numFmt w:val="bullet"/>
      <w:lvlText w:val="o"/>
      <w:lvlJc w:val="left"/>
      <w:pPr>
        <w:ind w:left="12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97EA944">
      <w:start w:val="1"/>
      <w:numFmt w:val="bullet"/>
      <w:lvlText w:val="▪"/>
      <w:lvlJc w:val="left"/>
      <w:pPr>
        <w:ind w:left="20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F262B6C">
      <w:start w:val="1"/>
      <w:numFmt w:val="bullet"/>
      <w:lvlText w:val="•"/>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F06249E">
      <w:start w:val="1"/>
      <w:numFmt w:val="bullet"/>
      <w:lvlText w:val="o"/>
      <w:lvlJc w:val="left"/>
      <w:pPr>
        <w:ind w:left="34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868704C">
      <w:start w:val="1"/>
      <w:numFmt w:val="bullet"/>
      <w:lvlText w:val="▪"/>
      <w:lvlJc w:val="left"/>
      <w:pPr>
        <w:ind w:left="41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8FA7CD2">
      <w:start w:val="1"/>
      <w:numFmt w:val="bullet"/>
      <w:lvlText w:val="•"/>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6FACA32">
      <w:start w:val="1"/>
      <w:numFmt w:val="bullet"/>
      <w:lvlText w:val="o"/>
      <w:lvlJc w:val="left"/>
      <w:pPr>
        <w:ind w:left="56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3E8E46C">
      <w:start w:val="1"/>
      <w:numFmt w:val="bullet"/>
      <w:lvlText w:val="▪"/>
      <w:lvlJc w:val="left"/>
      <w:pPr>
        <w:ind w:left="63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8" w15:restartNumberingAfterBreak="0">
    <w:nsid w:val="76F84B5A"/>
    <w:multiLevelType w:val="hybridMultilevel"/>
    <w:tmpl w:val="FF2A8C62"/>
    <w:lvl w:ilvl="0" w:tplc="94FC1B70">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1"/>
  </w:num>
  <w:num w:numId="8">
    <w:abstractNumId w:val="24"/>
  </w:num>
  <w:num w:numId="9">
    <w:abstractNumId w:val="17"/>
  </w:num>
  <w:num w:numId="10">
    <w:abstractNumId w:val="11"/>
  </w:num>
  <w:num w:numId="11">
    <w:abstractNumId w:val="25"/>
  </w:num>
  <w:num w:numId="12">
    <w:abstractNumId w:val="28"/>
  </w:num>
  <w:num w:numId="13">
    <w:abstractNumId w:val="34"/>
  </w:num>
  <w:num w:numId="14">
    <w:abstractNumId w:val="7"/>
  </w:num>
  <w:num w:numId="15">
    <w:abstractNumId w:val="15"/>
  </w:num>
  <w:num w:numId="16">
    <w:abstractNumId w:val="37"/>
  </w:num>
  <w:num w:numId="17">
    <w:abstractNumId w:val="32"/>
  </w:num>
  <w:num w:numId="18">
    <w:abstractNumId w:val="27"/>
  </w:num>
  <w:num w:numId="19">
    <w:abstractNumId w:val="18"/>
  </w:num>
  <w:num w:numId="20">
    <w:abstractNumId w:val="16"/>
  </w:num>
  <w:num w:numId="21">
    <w:abstractNumId w:val="10"/>
  </w:num>
  <w:num w:numId="22">
    <w:abstractNumId w:val="6"/>
  </w:num>
  <w:num w:numId="23">
    <w:abstractNumId w:val="12"/>
  </w:num>
  <w:num w:numId="24">
    <w:abstractNumId w:val="9"/>
  </w:num>
  <w:num w:numId="25">
    <w:abstractNumId w:val="23"/>
  </w:num>
  <w:num w:numId="26">
    <w:abstractNumId w:val="22"/>
  </w:num>
  <w:num w:numId="27">
    <w:abstractNumId w:val="25"/>
  </w:num>
  <w:num w:numId="28">
    <w:abstractNumId w:val="28"/>
  </w:num>
  <w:num w:numId="29">
    <w:abstractNumId w:val="25"/>
  </w:num>
  <w:num w:numId="30">
    <w:abstractNumId w:val="25"/>
  </w:num>
  <w:num w:numId="31">
    <w:abstractNumId w:val="28"/>
  </w:num>
  <w:num w:numId="32">
    <w:abstractNumId w:val="28"/>
  </w:num>
  <w:num w:numId="33">
    <w:abstractNumId w:val="28"/>
  </w:num>
  <w:num w:numId="34">
    <w:abstractNumId w:val="30"/>
  </w:num>
  <w:num w:numId="35">
    <w:abstractNumId w:val="26"/>
  </w:num>
  <w:num w:numId="36">
    <w:abstractNumId w:val="35"/>
  </w:num>
  <w:num w:numId="37">
    <w:abstractNumId w:val="31"/>
  </w:num>
  <w:num w:numId="38">
    <w:abstractNumId w:val="20"/>
  </w:num>
  <w:num w:numId="39">
    <w:abstractNumId w:val="13"/>
  </w:num>
  <w:num w:numId="40">
    <w:abstractNumId w:val="19"/>
  </w:num>
  <w:num w:numId="41">
    <w:abstractNumId w:val="14"/>
  </w:num>
  <w:num w:numId="42">
    <w:abstractNumId w:val="36"/>
  </w:num>
  <w:num w:numId="43">
    <w:abstractNumId w:val="29"/>
  </w:num>
  <w:num w:numId="44">
    <w:abstractNumId w:val="38"/>
  </w:num>
  <w:num w:numId="45">
    <w:abstractNumId w:val="8"/>
  </w:num>
  <w:num w:numId="46">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93E"/>
    <w:rsid w:val="00003360"/>
    <w:rsid w:val="00003FC7"/>
    <w:rsid w:val="00005919"/>
    <w:rsid w:val="00007C42"/>
    <w:rsid w:val="00015020"/>
    <w:rsid w:val="0001647B"/>
    <w:rsid w:val="00020010"/>
    <w:rsid w:val="00034673"/>
    <w:rsid w:val="00036671"/>
    <w:rsid w:val="00037226"/>
    <w:rsid w:val="000409E2"/>
    <w:rsid w:val="00044EA1"/>
    <w:rsid w:val="0004703F"/>
    <w:rsid w:val="00054574"/>
    <w:rsid w:val="0005649A"/>
    <w:rsid w:val="00063BB2"/>
    <w:rsid w:val="00065F18"/>
    <w:rsid w:val="00067005"/>
    <w:rsid w:val="00075526"/>
    <w:rsid w:val="00076035"/>
    <w:rsid w:val="00077013"/>
    <w:rsid w:val="0008288C"/>
    <w:rsid w:val="00091C3A"/>
    <w:rsid w:val="000D61F6"/>
    <w:rsid w:val="000E3240"/>
    <w:rsid w:val="000E677B"/>
    <w:rsid w:val="000F4ADF"/>
    <w:rsid w:val="000F61AF"/>
    <w:rsid w:val="0010171C"/>
    <w:rsid w:val="00102FAD"/>
    <w:rsid w:val="00105000"/>
    <w:rsid w:val="00121870"/>
    <w:rsid w:val="00126FDE"/>
    <w:rsid w:val="0013703F"/>
    <w:rsid w:val="00140ED2"/>
    <w:rsid w:val="00143E7C"/>
    <w:rsid w:val="0014415C"/>
    <w:rsid w:val="0014565E"/>
    <w:rsid w:val="001536C9"/>
    <w:rsid w:val="0015659F"/>
    <w:rsid w:val="0016433D"/>
    <w:rsid w:val="001676BD"/>
    <w:rsid w:val="00184C0F"/>
    <w:rsid w:val="001A069E"/>
    <w:rsid w:val="001A5F55"/>
    <w:rsid w:val="001C0031"/>
    <w:rsid w:val="001C0C30"/>
    <w:rsid w:val="001C15EE"/>
    <w:rsid w:val="001D0111"/>
    <w:rsid w:val="001D30D4"/>
    <w:rsid w:val="001D7EAE"/>
    <w:rsid w:val="001E3565"/>
    <w:rsid w:val="001E64FC"/>
    <w:rsid w:val="001F0724"/>
    <w:rsid w:val="002007DF"/>
    <w:rsid w:val="00205FE8"/>
    <w:rsid w:val="00206BA3"/>
    <w:rsid w:val="00215160"/>
    <w:rsid w:val="002224B4"/>
    <w:rsid w:val="00226D5E"/>
    <w:rsid w:val="00237A3D"/>
    <w:rsid w:val="00240E83"/>
    <w:rsid w:val="002452F8"/>
    <w:rsid w:val="002502D1"/>
    <w:rsid w:val="00255E1D"/>
    <w:rsid w:val="00260A17"/>
    <w:rsid w:val="00263C5B"/>
    <w:rsid w:val="00265F69"/>
    <w:rsid w:val="00267EDC"/>
    <w:rsid w:val="00270EEC"/>
    <w:rsid w:val="002777D8"/>
    <w:rsid w:val="002806A2"/>
    <w:rsid w:val="00285621"/>
    <w:rsid w:val="00297CC7"/>
    <w:rsid w:val="002A194F"/>
    <w:rsid w:val="002A4BD9"/>
    <w:rsid w:val="002A4FE7"/>
    <w:rsid w:val="002B1CEB"/>
    <w:rsid w:val="002C71C6"/>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175D"/>
    <w:rsid w:val="003F1357"/>
    <w:rsid w:val="003F2B58"/>
    <w:rsid w:val="003F52D2"/>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044D"/>
    <w:rsid w:val="004F2E8A"/>
    <w:rsid w:val="004F55E1"/>
    <w:rsid w:val="00501C4B"/>
    <w:rsid w:val="005028A7"/>
    <w:rsid w:val="005078B7"/>
    <w:rsid w:val="00510D73"/>
    <w:rsid w:val="00512ACB"/>
    <w:rsid w:val="0052216D"/>
    <w:rsid w:val="00526115"/>
    <w:rsid w:val="00533FAF"/>
    <w:rsid w:val="00535DF5"/>
    <w:rsid w:val="005366B6"/>
    <w:rsid w:val="0054495E"/>
    <w:rsid w:val="00554BCD"/>
    <w:rsid w:val="00555F60"/>
    <w:rsid w:val="005605A5"/>
    <w:rsid w:val="00560B3C"/>
    <w:rsid w:val="00561A97"/>
    <w:rsid w:val="00563DAC"/>
    <w:rsid w:val="0056672E"/>
    <w:rsid w:val="005675E0"/>
    <w:rsid w:val="00570A71"/>
    <w:rsid w:val="00570C00"/>
    <w:rsid w:val="00576AAA"/>
    <w:rsid w:val="0058206B"/>
    <w:rsid w:val="005848D3"/>
    <w:rsid w:val="00585690"/>
    <w:rsid w:val="00594AAA"/>
    <w:rsid w:val="00595B33"/>
    <w:rsid w:val="0059662F"/>
    <w:rsid w:val="005A2652"/>
    <w:rsid w:val="005B7254"/>
    <w:rsid w:val="005D3066"/>
    <w:rsid w:val="005D6013"/>
    <w:rsid w:val="005E4205"/>
    <w:rsid w:val="005E4B13"/>
    <w:rsid w:val="005E4C02"/>
    <w:rsid w:val="005F01DF"/>
    <w:rsid w:val="005F76CC"/>
    <w:rsid w:val="005F7FE0"/>
    <w:rsid w:val="005F7FF8"/>
    <w:rsid w:val="006004C4"/>
    <w:rsid w:val="00600CA4"/>
    <w:rsid w:val="00602416"/>
    <w:rsid w:val="006025CE"/>
    <w:rsid w:val="006041F2"/>
    <w:rsid w:val="006064F5"/>
    <w:rsid w:val="00617298"/>
    <w:rsid w:val="006336F1"/>
    <w:rsid w:val="00637753"/>
    <w:rsid w:val="00660CE4"/>
    <w:rsid w:val="00662716"/>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BF7"/>
    <w:rsid w:val="00702F2C"/>
    <w:rsid w:val="007068C8"/>
    <w:rsid w:val="00715B8F"/>
    <w:rsid w:val="0073106E"/>
    <w:rsid w:val="00737813"/>
    <w:rsid w:val="00755142"/>
    <w:rsid w:val="00756BB7"/>
    <w:rsid w:val="0075764B"/>
    <w:rsid w:val="00760C01"/>
    <w:rsid w:val="00761293"/>
    <w:rsid w:val="00767C04"/>
    <w:rsid w:val="007736A2"/>
    <w:rsid w:val="007A1388"/>
    <w:rsid w:val="007A6226"/>
    <w:rsid w:val="007B3C61"/>
    <w:rsid w:val="007D1918"/>
    <w:rsid w:val="007F03F2"/>
    <w:rsid w:val="008023C3"/>
    <w:rsid w:val="008031DF"/>
    <w:rsid w:val="008065D7"/>
    <w:rsid w:val="008111A3"/>
    <w:rsid w:val="00816E30"/>
    <w:rsid w:val="0081703A"/>
    <w:rsid w:val="0082264B"/>
    <w:rsid w:val="0082765B"/>
    <w:rsid w:val="008352B1"/>
    <w:rsid w:val="008353E7"/>
    <w:rsid w:val="00835BD7"/>
    <w:rsid w:val="008428E8"/>
    <w:rsid w:val="00843D71"/>
    <w:rsid w:val="00846F11"/>
    <w:rsid w:val="0084745A"/>
    <w:rsid w:val="00857593"/>
    <w:rsid w:val="00870045"/>
    <w:rsid w:val="00876E5F"/>
    <w:rsid w:val="00877819"/>
    <w:rsid w:val="00883B1E"/>
    <w:rsid w:val="00884A12"/>
    <w:rsid w:val="00890CE4"/>
    <w:rsid w:val="00891ED7"/>
    <w:rsid w:val="008B7B54"/>
    <w:rsid w:val="008C2026"/>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61CB"/>
    <w:rsid w:val="009170B9"/>
    <w:rsid w:val="00923A87"/>
    <w:rsid w:val="00927482"/>
    <w:rsid w:val="00936FF5"/>
    <w:rsid w:val="0094654B"/>
    <w:rsid w:val="0095112B"/>
    <w:rsid w:val="00952122"/>
    <w:rsid w:val="0095712A"/>
    <w:rsid w:val="009576D4"/>
    <w:rsid w:val="0096306D"/>
    <w:rsid w:val="00967E6C"/>
    <w:rsid w:val="00973A6D"/>
    <w:rsid w:val="009804E0"/>
    <w:rsid w:val="00983735"/>
    <w:rsid w:val="009865AA"/>
    <w:rsid w:val="00987080"/>
    <w:rsid w:val="0098765A"/>
    <w:rsid w:val="00987E5B"/>
    <w:rsid w:val="00991620"/>
    <w:rsid w:val="009968B0"/>
    <w:rsid w:val="009A6CB2"/>
    <w:rsid w:val="009B0982"/>
    <w:rsid w:val="009B4C99"/>
    <w:rsid w:val="009C0471"/>
    <w:rsid w:val="009C13FB"/>
    <w:rsid w:val="009C42A8"/>
    <w:rsid w:val="009D28CF"/>
    <w:rsid w:val="009D546F"/>
    <w:rsid w:val="009E40D1"/>
    <w:rsid w:val="009E5D36"/>
    <w:rsid w:val="009E6375"/>
    <w:rsid w:val="009E7CA0"/>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5851"/>
    <w:rsid w:val="00A863E3"/>
    <w:rsid w:val="00A94161"/>
    <w:rsid w:val="00A97BFB"/>
    <w:rsid w:val="00AB0BBC"/>
    <w:rsid w:val="00AB3A92"/>
    <w:rsid w:val="00AB478B"/>
    <w:rsid w:val="00AB47AC"/>
    <w:rsid w:val="00AB4AD9"/>
    <w:rsid w:val="00AD6E77"/>
    <w:rsid w:val="00AD7A25"/>
    <w:rsid w:val="00AD7BF3"/>
    <w:rsid w:val="00AE2666"/>
    <w:rsid w:val="00AF3A5A"/>
    <w:rsid w:val="00AF3E15"/>
    <w:rsid w:val="00AF5218"/>
    <w:rsid w:val="00AF60A0"/>
    <w:rsid w:val="00B038F2"/>
    <w:rsid w:val="00B0480E"/>
    <w:rsid w:val="00B1026A"/>
    <w:rsid w:val="00B110CD"/>
    <w:rsid w:val="00B21166"/>
    <w:rsid w:val="00B263AE"/>
    <w:rsid w:val="00B30B8E"/>
    <w:rsid w:val="00B33A6C"/>
    <w:rsid w:val="00B42F17"/>
    <w:rsid w:val="00B43A02"/>
    <w:rsid w:val="00B47091"/>
    <w:rsid w:val="00B54416"/>
    <w:rsid w:val="00B56534"/>
    <w:rsid w:val="00B57A21"/>
    <w:rsid w:val="00B62C3E"/>
    <w:rsid w:val="00B645DE"/>
    <w:rsid w:val="00B65857"/>
    <w:rsid w:val="00B66698"/>
    <w:rsid w:val="00B7059B"/>
    <w:rsid w:val="00B745DC"/>
    <w:rsid w:val="00B84350"/>
    <w:rsid w:val="00B855A6"/>
    <w:rsid w:val="00B90EE6"/>
    <w:rsid w:val="00B91098"/>
    <w:rsid w:val="00B91904"/>
    <w:rsid w:val="00B92735"/>
    <w:rsid w:val="00B969ED"/>
    <w:rsid w:val="00BA77F1"/>
    <w:rsid w:val="00BB0D90"/>
    <w:rsid w:val="00BB3B51"/>
    <w:rsid w:val="00BB60C6"/>
    <w:rsid w:val="00BB7984"/>
    <w:rsid w:val="00BC45F7"/>
    <w:rsid w:val="00BC6A06"/>
    <w:rsid w:val="00BD137C"/>
    <w:rsid w:val="00BE31E5"/>
    <w:rsid w:val="00BE3BC7"/>
    <w:rsid w:val="00BF0C5F"/>
    <w:rsid w:val="00BF1AB7"/>
    <w:rsid w:val="00BF7FE9"/>
    <w:rsid w:val="00C03596"/>
    <w:rsid w:val="00C05EEC"/>
    <w:rsid w:val="00C15A13"/>
    <w:rsid w:val="00C21752"/>
    <w:rsid w:val="00C238D9"/>
    <w:rsid w:val="00C24A9D"/>
    <w:rsid w:val="00C2677E"/>
    <w:rsid w:val="00C31542"/>
    <w:rsid w:val="00C32604"/>
    <w:rsid w:val="00C5028E"/>
    <w:rsid w:val="00C54E78"/>
    <w:rsid w:val="00C6078D"/>
    <w:rsid w:val="00C657CF"/>
    <w:rsid w:val="00C76624"/>
    <w:rsid w:val="00C80D62"/>
    <w:rsid w:val="00C8388B"/>
    <w:rsid w:val="00C84944"/>
    <w:rsid w:val="00C90217"/>
    <w:rsid w:val="00C96BFD"/>
    <w:rsid w:val="00C96C98"/>
    <w:rsid w:val="00CA5358"/>
    <w:rsid w:val="00CB1DCA"/>
    <w:rsid w:val="00CD502A"/>
    <w:rsid w:val="00CF0C77"/>
    <w:rsid w:val="00CF12CF"/>
    <w:rsid w:val="00CF4BE3"/>
    <w:rsid w:val="00D060D2"/>
    <w:rsid w:val="00D13E2D"/>
    <w:rsid w:val="00D14394"/>
    <w:rsid w:val="00D242CD"/>
    <w:rsid w:val="00D26F74"/>
    <w:rsid w:val="00D341C3"/>
    <w:rsid w:val="00D42843"/>
    <w:rsid w:val="00D43F10"/>
    <w:rsid w:val="00D5152A"/>
    <w:rsid w:val="00D560EB"/>
    <w:rsid w:val="00D65145"/>
    <w:rsid w:val="00D73D87"/>
    <w:rsid w:val="00D74314"/>
    <w:rsid w:val="00D81410"/>
    <w:rsid w:val="00D92505"/>
    <w:rsid w:val="00DA267C"/>
    <w:rsid w:val="00DA27B3"/>
    <w:rsid w:val="00DA5101"/>
    <w:rsid w:val="00DA62E8"/>
    <w:rsid w:val="00DA79EF"/>
    <w:rsid w:val="00DB0C0B"/>
    <w:rsid w:val="00DB3B74"/>
    <w:rsid w:val="00DC0208"/>
    <w:rsid w:val="00DC5870"/>
    <w:rsid w:val="00DD0384"/>
    <w:rsid w:val="00DD0901"/>
    <w:rsid w:val="00DD4AB0"/>
    <w:rsid w:val="00DE16B6"/>
    <w:rsid w:val="00DE3323"/>
    <w:rsid w:val="00DE36CA"/>
    <w:rsid w:val="00DE7E63"/>
    <w:rsid w:val="00DF5AA8"/>
    <w:rsid w:val="00DF77A2"/>
    <w:rsid w:val="00E25650"/>
    <w:rsid w:val="00E3093E"/>
    <w:rsid w:val="00E367C5"/>
    <w:rsid w:val="00E37DFF"/>
    <w:rsid w:val="00E37E71"/>
    <w:rsid w:val="00E42486"/>
    <w:rsid w:val="00E42847"/>
    <w:rsid w:val="00E45862"/>
    <w:rsid w:val="00E46064"/>
    <w:rsid w:val="00E604A1"/>
    <w:rsid w:val="00E65033"/>
    <w:rsid w:val="00E7293C"/>
    <w:rsid w:val="00E73AA8"/>
    <w:rsid w:val="00E76812"/>
    <w:rsid w:val="00E80228"/>
    <w:rsid w:val="00E86D2A"/>
    <w:rsid w:val="00E8711A"/>
    <w:rsid w:val="00EA2ED4"/>
    <w:rsid w:val="00EA491A"/>
    <w:rsid w:val="00EA6AD8"/>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DB5E51"/>
  <w15:docId w15:val="{AC44A375-5E12-4CEC-A1D3-67AB6002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lsdException w:name="Balloon Text" w:semiHidden="1" w:unhideWhenUsed="1"/>
    <w:lsdException w:name="Table Grid" w:semiHidden="1" w:uiPriority="0"/>
    <w:lsdException w:name="Table Theme" w:semiHidden="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a.govt.nz/diawebsite.nsf/Files/DIA_Profile_Valued_Contributor_v7/$file/DIA_Profile_Valued_Contributor_v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Other%20Templates\HR\Job%20descriptions\Valued%20Contributor%20JD.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ce404f2c-b0eb-493e-ac64-5bd3de555ba4" xsi:nil="true"/>
    <TaxCatchAll xmlns="ce404f2c-b0eb-493e-ac64-5bd3de555ba4">
      <Value>489</Value>
      <Value>9</Value>
      <Value>243</Value>
      <Value>4</Value>
      <Value>1</Value>
      <Value>1564</Value>
    </TaxCatchAll>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Regulatory Services</TermName>
          <TermId xmlns="http://schemas.microsoft.com/office/infopath/2007/PartnerControls">1010cf33-0413-4e6a-8c04-a2ea62ac81eb</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TaxKeywordTaxHTField xmlns="ce404f2c-b0eb-493e-ac64-5bd3de555ba4">
      <Terms xmlns="http://schemas.microsoft.com/office/infopath/2007/PartnerControls"/>
    </TaxKeywordTaxHTField>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Policy, Regulation and Communities (PRC)</TermName>
          <TermId xmlns="http://schemas.microsoft.com/office/infopath/2007/PartnerControls">388bdc54-8530-47e5-acc4-c23a497eacf9</TermId>
        </TermInfo>
      </Terms>
    </bd91311754d44584aa154213d89a7877>
    <k637144f3e274b809739df325940a5b6 xmlns="ce404f2c-b0eb-493e-ac64-5bd3de555ba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904472fb-5946-4bf0-bf20-360d4d563c19</TermId>
        </TermInfo>
      </Terms>
    </k637144f3e274b809739df325940a5b6>
    <b4e599394e5a49b2b73defab99f3cfa7 xmlns="ce404f2c-b0eb-493e-ac64-5bd3de555ba4">
      <Terms xmlns="http://schemas.microsoft.com/office/infopath/2007/PartnerControls">
        <TermInfo xmlns="http://schemas.microsoft.com/office/infopath/2007/PartnerControls">
          <TermName xmlns="http://schemas.microsoft.com/office/infopath/2007/PartnerControls">Regulatory System AML</TermName>
          <TermId xmlns="http://schemas.microsoft.com/office/infopath/2007/PartnerControls">e3d42836-6653-4599-9cdb-dc78037be9e4</TermId>
        </TermInfo>
      </Terms>
    </b4e599394e5a49b2b73defab99f3cfa7>
    <_dlc_DocId xmlns="ce404f2c-b0eb-493e-ac64-5bd3de555ba4">4V7JHWUKMACF-1171240744-454</_dlc_DocId>
    <_dlc_DocIdUrl xmlns="ce404f2c-b0eb-493e-ac64-5bd3de555ba4">
      <Url>https://dia.cohesion.net.nz/Sites/PEO/JDE/JDS/_layouts/15/DocIdRedir.aspx?ID=4V7JHWUKMACF-1171240744-454</Url>
      <Description>4V7JHWUKMACF-1171240744-454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0D9698B2BED9E14FBC30FE0EF6E919FE" ma:contentTypeVersion="9" ma:contentTypeDescription="Administration Document" ma:contentTypeScope="" ma:versionID="64fef5f5af70a57bd46550b3fa2d5bc0">
  <xsd:schema xmlns:xsd="http://www.w3.org/2001/XMLSchema" xmlns:xs="http://www.w3.org/2001/XMLSchema" xmlns:p="http://schemas.microsoft.com/office/2006/metadata/properties" xmlns:ns3="01be4277-2979-4a68-876d-b92b25fceece" xmlns:ns4="ce404f2c-b0eb-493e-ac64-5bd3de555ba4" xmlns:ns5="a582de37-8123-40d5-8b54-667114eee143" targetNamespace="http://schemas.microsoft.com/office/2006/metadata/properties" ma:root="true" ma:fieldsID="50f191ed58fe68226a196909d1e11050" ns3:_="" ns4:_="" ns5:_="">
    <xsd:import namespace="01be4277-2979-4a68-876d-b92b25fceece"/>
    <xsd:import namespace="ce404f2c-b0eb-493e-ac64-5bd3de555ba4"/>
    <xsd:import namespace="a582de37-8123-40d5-8b54-667114eee143"/>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637144f3e274b809739df325940a5b6"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f0fdd756e0484c409e9468eddc974ab0" minOccurs="0"/>
                <xsd:element ref="ns4:b4e599394e5a49b2b73defab99f3cfa7" minOccurs="0"/>
                <xsd:element ref="ns4:DIAJobDescriptionStatus"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k637144f3e274b809739df325940a5b6" ma:index="14" ma:taxonomy="true" ma:internalName="k637144f3e274b809739df325940a5b6" ma:taxonomyFieldName="DIAAdministrationDocumentType" ma:displayName="Administration Document Type" ma:fieldId="{4637144f-3e27-4b80-9739-df325940a5b6}"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b485a316fabc404884ec1dd50da393e7" ma:index="16"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bd91311754d44584aa154213d89a7877" ma:index="22" nillable="true" ma:taxonomy="true" ma:internalName="bd91311754d44584aa154213d89a7877" ma:taxonomyFieldName="DIABranch" ma:displayName="DIA Branch" ma:default="243;#Policy, Regulatory and Ethnic Affairs (PREA)|388bdc54-8530-47e5-acc4-c23a497eacf9"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default="" ma:fieldId="{f0fdd756-e048-4c40-9e94-68eddc974ab0}" ma:sspId="caf61cd4-0327-4679-8f8a-6e41773e81e7" ma:termSetId="96f8a586-b4ec-4c5c-8597-999a4daef8a2" ma:anchorId="b27ea2f1-e5e8-48e4-b2f5-f9847196cc93" ma:open="false" ma:isKeyword="false">
      <xsd:complexType>
        <xsd:sequence>
          <xsd:element ref="pc:Terms" minOccurs="0" maxOccurs="1"/>
        </xsd:sequence>
      </xsd:complexType>
    </xsd:element>
    <xsd:element name="b4e599394e5a49b2b73defab99f3cfa7" ma:index="26"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b27ea2f1-e5e8-48e4-b2f5-f9847196cc93" ma:open="false" ma:isKeyword="false">
      <xsd:complexType>
        <xsd:sequence>
          <xsd:element ref="pc:Terms" minOccurs="0" maxOccurs="1"/>
        </xsd:sequence>
      </xsd:complexType>
    </xsd:element>
    <xsd:element name="DIAJobDescriptionStatus" ma:index="28" nillable="true" ma:displayName="Job Description Status" ma:description="Use to identify the job description status" ma:indexed="true" ma:internalName="DIAJobDescriptionStatus">
      <xsd:simpleType>
        <xsd:restriction base="dms:Choice">
          <xsd:enumeration value="​Active"/>
          <xsd:enumeration value="Draft"/>
          <xsd:enumeration value="Retired"/>
        </xsd:restriction>
      </xsd:simpleType>
    </xsd:element>
  </xsd:schema>
  <xsd:schema xmlns:xsd="http://www.w3.org/2001/XMLSchema" xmlns:xs="http://www.w3.org/2001/XMLSchema" xmlns:dms="http://schemas.microsoft.com/office/2006/documentManagement/types" xmlns:pc="http://schemas.microsoft.com/office/infopath/2007/PartnerControls" targetNamespace="a582de37-8123-40d5-8b54-667114eee14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83A06-5DA1-40D1-999B-34F7D2D5ADE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ce404f2c-b0eb-493e-ac64-5bd3de555ba4"/>
    <ds:schemaRef ds:uri="a582de37-8123-40d5-8b54-667114eee143"/>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96871C49-71AC-44F4-A478-EB681BCE4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e404f2c-b0eb-493e-ac64-5bd3de555ba4"/>
    <ds:schemaRef ds:uri="a582de37-8123-40d5-8b54-667114eee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351E0-F46B-4589-B8FC-F6D905CB53E4}">
  <ds:schemaRefs>
    <ds:schemaRef ds:uri="http://schemas.microsoft.com/sharepoint/v3/contenttype/forms"/>
  </ds:schemaRefs>
</ds:datastoreItem>
</file>

<file path=customXml/itemProps4.xml><?xml version="1.0" encoding="utf-8"?>
<ds:datastoreItem xmlns:ds="http://schemas.openxmlformats.org/officeDocument/2006/customXml" ds:itemID="{3D55B617-C8F9-452A-AF4C-A5DC8ECA0E55}">
  <ds:schemaRefs>
    <ds:schemaRef ds:uri="http://schemas.microsoft.com/sharepoint/events"/>
  </ds:schemaRefs>
</ds:datastoreItem>
</file>

<file path=customXml/itemProps5.xml><?xml version="1.0" encoding="utf-8"?>
<ds:datastoreItem xmlns:ds="http://schemas.openxmlformats.org/officeDocument/2006/customXml" ds:itemID="{72FB6F0F-1BB8-4343-ABAA-E14A2523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Valued Contributor JD</Template>
  <TotalTime>0</TotalTime>
  <Pages>5</Pages>
  <Words>1481</Words>
  <Characters>8442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Gilbert</dc:creator>
  <cp:keywords/>
  <cp:lastModifiedBy>Nicole McKirdy</cp:lastModifiedBy>
  <cp:revision>2</cp:revision>
  <cp:lastPrinted>2014-12-23T20:51:00Z</cp:lastPrinted>
  <dcterms:created xsi:type="dcterms:W3CDTF">2020-02-11T19:34:00Z</dcterms:created>
  <dcterms:modified xsi:type="dcterms:W3CDTF">2020-02-11T19:34:00Z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0x0101005496552013C0BA46BE88192D5C6EB20B00351512A5ABB74CC687DC2977C156D0BF000D9698B2BED9E14FBC30FE0EF6E919FE</vt:lpwstr>
  </property>
  <property fmtid="{D5CDD505-2E9C-101B-9397-08002B2CF9AE}" pid="3" name="DIABusinessUnit">
    <vt:lpwstr>1564;#Regulatory System AML|e3d42836-6653-4599-9cdb-dc78037be9e4</vt:lpwstr>
  </property>
  <property fmtid="{D5CDD505-2E9C-101B-9397-08002B2CF9AE}" pid="4" name="if0041076d304ad8ac7b8136078c79a0">
    <vt:lpwstr>Correspondence|dcd6b05f-dc80-4336-b228-09aebf3d212c</vt:lpwstr>
  </property>
  <property fmtid="{D5CDD505-2E9C-101B-9397-08002B2CF9AE}" pid="5" name="DIABranch">
    <vt:lpwstr>243;#Policy, Regulation and Communities (PRC)|388bdc54-8530-47e5-acc4-c23a497eacf9</vt:lpwstr>
  </property>
  <property fmtid="{D5CDD505-2E9C-101B-9397-08002B2CF9AE}" pid="6" name="DIABusinessGroup">
    <vt:lpwstr>489;#Regulatory Services|1010cf33-0413-4e6a-8c04-a2ea62ac81eb</vt:lpwstr>
  </property>
  <property fmtid="{D5CDD505-2E9C-101B-9397-08002B2CF9AE}" pid="7" name="_dlc_DocIdItemGuid">
    <vt:lpwstr>e74ce55b-25e3-422c-9ba7-d23fd4b42d56</vt:lpwstr>
  </property>
  <property fmtid="{D5CDD505-2E9C-101B-9397-08002B2CF9AE}" pid="8" name="TaxKeyword">
    <vt:lpwstr/>
  </property>
  <property fmtid="{D5CDD505-2E9C-101B-9397-08002B2CF9AE}" pid="9" name="DIAAdministrationDocumentType">
    <vt:lpwstr>9;#Template|904472fb-5946-4bf0-bf20-360d4d563c19</vt:lpwstr>
  </property>
  <property fmtid="{D5CDD505-2E9C-101B-9397-08002B2CF9AE}" pid="10" name="fa525ba192404975a66fed9c22b2ead5">
    <vt:lpwstr/>
  </property>
  <property fmtid="{D5CDD505-2E9C-101B-9397-08002B2CF9AE}" pid="11" name="C3Topic">
    <vt:lpwstr/>
  </property>
  <property fmtid="{D5CDD505-2E9C-101B-9397-08002B2CF9AE}" pid="12" name="DIASecurityClassification">
    <vt:lpwstr>1;#UNCLASSIFIED|875d92a8-67e2-4a32-9472-8fe99549e1eb</vt:lpwstr>
  </property>
  <property fmtid="{D5CDD505-2E9C-101B-9397-08002B2CF9AE}" pid="13" name="DIAEmailContentType">
    <vt:lpwstr>4;#Correspondence|dcd6b05f-dc80-4336-b228-09aebf3d212c</vt:lpwstr>
  </property>
  <property fmtid="{D5CDD505-2E9C-101B-9397-08002B2CF9AE}" pid="14" name="DIAMeetingDocumentType">
    <vt:lpwstr/>
  </property>
</Properties>
</file>