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D06D" w14:textId="77777777" w:rsidR="001676BD" w:rsidRDefault="00C14545" w:rsidP="001676BD">
      <w:pPr>
        <w:pStyle w:val="Heading1"/>
      </w:pPr>
      <w:r>
        <w:t xml:space="preserve">Research Librarian, Specialist </w:t>
      </w:r>
    </w:p>
    <w:p w14:paraId="6F6CC74D" w14:textId="77777777" w:rsidR="001676BD" w:rsidRPr="001676BD" w:rsidRDefault="00C14545" w:rsidP="001676BD">
      <w:pPr>
        <w:pStyle w:val="Heading2"/>
      </w:pPr>
      <w:r>
        <w:t>Alexander Turnbull Library, National Library of New Zealand</w:t>
      </w:r>
    </w:p>
    <w:p w14:paraId="3B26CFC8" w14:textId="77777777" w:rsidR="000B2E26" w:rsidRDefault="000B2E26" w:rsidP="00267EDC"/>
    <w:p w14:paraId="5AFDFA68" w14:textId="77777777" w:rsidR="00D819D3" w:rsidRPr="004F0F9E" w:rsidRDefault="002E3140" w:rsidP="00267EDC">
      <w:r>
        <w:rPr>
          <w:rFonts w:cs="Arial"/>
          <w:szCs w:val="22"/>
        </w:rPr>
        <w:t>This role p</w:t>
      </w:r>
      <w:r w:rsidRPr="00516BE8">
        <w:rPr>
          <w:rFonts w:cs="Arial"/>
          <w:szCs w:val="22"/>
        </w:rPr>
        <w:t>rovide</w:t>
      </w:r>
      <w:r>
        <w:rPr>
          <w:rFonts w:cs="Arial"/>
          <w:szCs w:val="22"/>
        </w:rPr>
        <w:t>s</w:t>
      </w:r>
      <w:r w:rsidRPr="00516BE8">
        <w:rPr>
          <w:rFonts w:cs="Arial"/>
          <w:szCs w:val="22"/>
        </w:rPr>
        <w:t xml:space="preserve"> </w:t>
      </w:r>
      <w:r w:rsidR="004F0F9E">
        <w:rPr>
          <w:rFonts w:cs="Arial"/>
          <w:szCs w:val="22"/>
        </w:rPr>
        <w:t>leadership</w:t>
      </w:r>
      <w:r w:rsidR="00361F25">
        <w:rPr>
          <w:rFonts w:cs="Arial"/>
          <w:szCs w:val="22"/>
        </w:rPr>
        <w:t xml:space="preserve"> and</w:t>
      </w:r>
      <w:r w:rsidR="004F0F9E" w:rsidRPr="00516BE8">
        <w:rPr>
          <w:rFonts w:cs="Arial"/>
          <w:szCs w:val="22"/>
        </w:rPr>
        <w:t xml:space="preserve"> </w:t>
      </w:r>
      <w:r w:rsidRPr="00516BE8">
        <w:rPr>
          <w:rFonts w:cs="Arial"/>
          <w:szCs w:val="22"/>
        </w:rPr>
        <w:t>in-de</w:t>
      </w:r>
      <w:r w:rsidR="000E20B5">
        <w:rPr>
          <w:rFonts w:cs="Arial"/>
          <w:szCs w:val="22"/>
        </w:rPr>
        <w:t xml:space="preserve">pth </w:t>
      </w:r>
      <w:r w:rsidR="00D819D3">
        <w:rPr>
          <w:rFonts w:cs="Arial"/>
          <w:szCs w:val="22"/>
        </w:rPr>
        <w:t xml:space="preserve">research </w:t>
      </w:r>
      <w:r w:rsidR="000E20B5">
        <w:rPr>
          <w:rFonts w:cs="Arial"/>
          <w:szCs w:val="22"/>
        </w:rPr>
        <w:t>expertise</w:t>
      </w:r>
      <w:r w:rsidR="00D819D3">
        <w:rPr>
          <w:rFonts w:cs="Arial"/>
          <w:szCs w:val="22"/>
        </w:rPr>
        <w:t xml:space="preserve"> </w:t>
      </w:r>
      <w:r w:rsidR="00361F25">
        <w:rPr>
          <w:rFonts w:cs="Arial"/>
          <w:szCs w:val="22"/>
        </w:rPr>
        <w:t>to</w:t>
      </w:r>
      <w:r w:rsidR="004F0F9E">
        <w:rPr>
          <w:rFonts w:cs="Arial"/>
          <w:szCs w:val="22"/>
        </w:rPr>
        <w:t xml:space="preserve"> </w:t>
      </w:r>
      <w:r w:rsidR="004F0F9E" w:rsidRPr="00516BE8">
        <w:rPr>
          <w:rFonts w:cs="Arial"/>
          <w:szCs w:val="22"/>
        </w:rPr>
        <w:t>client groups,</w:t>
      </w:r>
      <w:r w:rsidR="002B7392">
        <w:rPr>
          <w:rFonts w:cs="Arial"/>
          <w:szCs w:val="22"/>
        </w:rPr>
        <w:t xml:space="preserve"> about</w:t>
      </w:r>
      <w:r w:rsidR="004F0F9E" w:rsidRPr="00516BE8">
        <w:rPr>
          <w:rFonts w:cs="Arial"/>
          <w:szCs w:val="22"/>
        </w:rPr>
        <w:t xml:space="preserve"> research</w:t>
      </w:r>
      <w:r w:rsidR="004F0F9E">
        <w:rPr>
          <w:rFonts w:cs="Arial"/>
          <w:szCs w:val="22"/>
        </w:rPr>
        <w:t xml:space="preserve"> subjects or collection formats</w:t>
      </w:r>
      <w:r w:rsidR="007B4CB0">
        <w:rPr>
          <w:rFonts w:cs="Arial"/>
          <w:szCs w:val="22"/>
        </w:rPr>
        <w:t xml:space="preserve"> in one specialist area</w:t>
      </w:r>
      <w:r w:rsidR="004F0F9E">
        <w:rPr>
          <w:rFonts w:cs="Arial"/>
          <w:szCs w:val="22"/>
        </w:rPr>
        <w:t xml:space="preserve">. </w:t>
      </w:r>
      <w:r w:rsidR="003A0BDB">
        <w:rPr>
          <w:rFonts w:cs="Arial"/>
          <w:szCs w:val="22"/>
        </w:rPr>
        <w:t xml:space="preserve">The current specialist areas are </w:t>
      </w:r>
      <w:r w:rsidR="0081671B">
        <w:rPr>
          <w:rFonts w:cs="Arial"/>
          <w:szCs w:val="22"/>
        </w:rPr>
        <w:t xml:space="preserve">(a) </w:t>
      </w:r>
      <w:r w:rsidR="004F0F9E">
        <w:rPr>
          <w:rFonts w:cs="Arial"/>
          <w:szCs w:val="22"/>
        </w:rPr>
        <w:t>Māori</w:t>
      </w:r>
      <w:r w:rsidR="003A0BDB">
        <w:rPr>
          <w:rFonts w:cs="Arial"/>
          <w:szCs w:val="22"/>
        </w:rPr>
        <w:t xml:space="preserve">, </w:t>
      </w:r>
      <w:r w:rsidR="0081671B">
        <w:rPr>
          <w:rFonts w:cs="Arial"/>
          <w:szCs w:val="22"/>
        </w:rPr>
        <w:t xml:space="preserve">(b) </w:t>
      </w:r>
      <w:r w:rsidR="003A0BDB">
        <w:rPr>
          <w:rFonts w:cs="Arial"/>
          <w:szCs w:val="22"/>
        </w:rPr>
        <w:t>P</w:t>
      </w:r>
      <w:r w:rsidR="00D819D3">
        <w:rPr>
          <w:rFonts w:cs="Arial"/>
          <w:szCs w:val="22"/>
        </w:rPr>
        <w:t xml:space="preserve">acific, </w:t>
      </w:r>
      <w:r w:rsidR="0081671B">
        <w:rPr>
          <w:rFonts w:cs="Arial"/>
          <w:szCs w:val="22"/>
        </w:rPr>
        <w:t xml:space="preserve">(c) </w:t>
      </w:r>
      <w:r w:rsidR="00D819D3">
        <w:rPr>
          <w:rFonts w:cs="Arial"/>
          <w:szCs w:val="22"/>
        </w:rPr>
        <w:t xml:space="preserve">family history, </w:t>
      </w:r>
      <w:r w:rsidR="0081671B">
        <w:rPr>
          <w:rFonts w:cs="Arial"/>
          <w:szCs w:val="22"/>
        </w:rPr>
        <w:t xml:space="preserve">(d) </w:t>
      </w:r>
      <w:r w:rsidR="00D819D3">
        <w:rPr>
          <w:rFonts w:cs="Arial"/>
          <w:szCs w:val="22"/>
        </w:rPr>
        <w:t>children’s literature,</w:t>
      </w:r>
      <w:r w:rsidR="0081671B">
        <w:rPr>
          <w:rFonts w:cs="Arial"/>
          <w:szCs w:val="22"/>
        </w:rPr>
        <w:t xml:space="preserve"> (e) </w:t>
      </w:r>
      <w:r w:rsidR="00D819D3">
        <w:rPr>
          <w:rFonts w:cs="Arial"/>
          <w:szCs w:val="22"/>
        </w:rPr>
        <w:t xml:space="preserve">pictorial, </w:t>
      </w:r>
      <w:r w:rsidR="00467B04">
        <w:rPr>
          <w:rFonts w:cs="Arial"/>
          <w:szCs w:val="22"/>
        </w:rPr>
        <w:t xml:space="preserve">(f) </w:t>
      </w:r>
      <w:r w:rsidR="00D819D3">
        <w:rPr>
          <w:rFonts w:cs="Arial"/>
          <w:szCs w:val="22"/>
        </w:rPr>
        <w:t xml:space="preserve">oral history, </w:t>
      </w:r>
      <w:r w:rsidR="00467B04">
        <w:rPr>
          <w:rFonts w:cs="Arial"/>
          <w:szCs w:val="22"/>
        </w:rPr>
        <w:t xml:space="preserve">(g) </w:t>
      </w:r>
      <w:r w:rsidR="00D819D3">
        <w:rPr>
          <w:rFonts w:cs="Arial"/>
          <w:szCs w:val="22"/>
        </w:rPr>
        <w:t xml:space="preserve">manuscripts, </w:t>
      </w:r>
      <w:r w:rsidR="00467B04">
        <w:rPr>
          <w:rFonts w:cs="Arial"/>
          <w:szCs w:val="22"/>
        </w:rPr>
        <w:t>(h) music, and (</w:t>
      </w:r>
      <w:proofErr w:type="spellStart"/>
      <w:r w:rsidR="00467B04">
        <w:rPr>
          <w:rFonts w:cs="Arial"/>
          <w:szCs w:val="22"/>
        </w:rPr>
        <w:t>i</w:t>
      </w:r>
      <w:proofErr w:type="spellEnd"/>
      <w:r w:rsidR="00467B04">
        <w:rPr>
          <w:rFonts w:cs="Arial"/>
          <w:szCs w:val="22"/>
        </w:rPr>
        <w:t xml:space="preserve">) </w:t>
      </w:r>
      <w:r w:rsidR="00D819D3">
        <w:rPr>
          <w:rFonts w:cs="Arial"/>
          <w:szCs w:val="22"/>
        </w:rPr>
        <w:t>cartoons and comics</w:t>
      </w:r>
      <w:r w:rsidR="00467B04">
        <w:rPr>
          <w:rFonts w:cs="Arial"/>
          <w:szCs w:val="22"/>
        </w:rPr>
        <w:t>.</w:t>
      </w:r>
      <w:r w:rsidR="007B4CB0">
        <w:rPr>
          <w:rFonts w:cs="Arial"/>
          <w:szCs w:val="22"/>
        </w:rPr>
        <w:t xml:space="preserve"> </w:t>
      </w:r>
    </w:p>
    <w:p w14:paraId="5C7C3DF3" w14:textId="77777777" w:rsidR="00D819D3" w:rsidRDefault="00D819D3" w:rsidP="00267EDC">
      <w:pPr>
        <w:rPr>
          <w:rFonts w:cs="Arial"/>
          <w:szCs w:val="22"/>
        </w:rPr>
      </w:pPr>
    </w:p>
    <w:p w14:paraId="256168C6"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9A1850">
        <w:t>Reading Room Leader or Online Research Services Leader</w:t>
      </w:r>
    </w:p>
    <w:p w14:paraId="24FD3113" w14:textId="77777777" w:rsidR="001676BD" w:rsidRPr="005A2652" w:rsidRDefault="001676BD" w:rsidP="001676BD">
      <w:pPr>
        <w:pStyle w:val="Bullethighlighted"/>
        <w:rPr>
          <w:rStyle w:val="BullethighlightedChar"/>
        </w:rPr>
      </w:pPr>
      <w:r w:rsidRPr="00285621">
        <w:t>Location:</w:t>
      </w:r>
      <w:r>
        <w:t xml:space="preserve"> </w:t>
      </w:r>
      <w:r w:rsidR="00C37E3F" w:rsidRPr="00C37E3F">
        <w:rPr>
          <w:b w:val="0"/>
          <w:color w:val="auto"/>
        </w:rPr>
        <w:t xml:space="preserve">National Library building Molesworth Street, Wellington </w:t>
      </w:r>
    </w:p>
    <w:p w14:paraId="205061C6" w14:textId="77777777" w:rsidR="001676BD" w:rsidRPr="005A2652" w:rsidRDefault="001C15EE" w:rsidP="001676BD">
      <w:pPr>
        <w:pStyle w:val="Bullet"/>
        <w:rPr>
          <w:rStyle w:val="BullethighlightedChar"/>
        </w:rPr>
      </w:pPr>
      <w:r w:rsidRPr="009E40D1">
        <w:rPr>
          <w:rStyle w:val="BullethighlightedChar"/>
        </w:rPr>
        <w:t>Salary range</w:t>
      </w:r>
      <w:r>
        <w:t>:</w:t>
      </w:r>
      <w:r w:rsidR="003706D3">
        <w:t xml:space="preserve"> Information Manage</w:t>
      </w:r>
      <w:r w:rsidR="0011581D">
        <w:t>ment, Band G</w:t>
      </w:r>
      <w:r w:rsidR="00877819">
        <w:t xml:space="preserve"> </w:t>
      </w:r>
    </w:p>
    <w:p w14:paraId="46C3A16D"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5A14AAC9"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65E8D934" w14:textId="77777777" w:rsidR="001676BD" w:rsidRPr="00285621" w:rsidRDefault="00BF0C5F" w:rsidP="00285621">
      <w:r w:rsidRPr="00285621">
        <w:t>In other words, it’s all about helping to make New Zealand better for New Zealanders.</w:t>
      </w:r>
    </w:p>
    <w:p w14:paraId="30E18738"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53800649" w14:textId="77777777" w:rsidTr="006336F1">
        <w:tc>
          <w:tcPr>
            <w:tcW w:w="1701" w:type="dxa"/>
            <w:vMerge w:val="restart"/>
          </w:tcPr>
          <w:p w14:paraId="570D3553" w14:textId="77777777"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30C3A405" w14:textId="77777777" w:rsidR="0046587F" w:rsidRPr="00DA62E8" w:rsidRDefault="0046587F" w:rsidP="00DA62E8">
            <w:pPr>
              <w:pStyle w:val="Heading3"/>
            </w:pPr>
            <w:r w:rsidRPr="00DA62E8">
              <w:t xml:space="preserve">We make it easy, we make it work </w:t>
            </w:r>
          </w:p>
          <w:p w14:paraId="5C7818C0" w14:textId="77777777" w:rsidR="0046587F" w:rsidRPr="00DA62E8" w:rsidRDefault="0046587F" w:rsidP="00DA62E8">
            <w:pPr>
              <w:pStyle w:val="Tablebullet"/>
            </w:pPr>
            <w:r w:rsidRPr="00DA62E8">
              <w:t>Customer centred</w:t>
            </w:r>
          </w:p>
          <w:p w14:paraId="065A5BCA" w14:textId="77777777" w:rsidR="0046587F" w:rsidRPr="00BF0C5F" w:rsidRDefault="0046587F" w:rsidP="00DA62E8">
            <w:pPr>
              <w:pStyle w:val="Tablebullet"/>
            </w:pPr>
            <w:r w:rsidRPr="00DA62E8">
              <w:t>Make things even better</w:t>
            </w:r>
          </w:p>
        </w:tc>
      </w:tr>
      <w:tr w:rsidR="0046587F" w14:paraId="73CD4EA4" w14:textId="77777777" w:rsidTr="006336F1">
        <w:tc>
          <w:tcPr>
            <w:tcW w:w="1701" w:type="dxa"/>
            <w:vMerge/>
          </w:tcPr>
          <w:p w14:paraId="717DF74F" w14:textId="77777777" w:rsidR="0046587F" w:rsidRDefault="0046587F" w:rsidP="00DA62E8">
            <w:pPr>
              <w:pStyle w:val="Tablenormal0"/>
            </w:pPr>
          </w:p>
        </w:tc>
        <w:tc>
          <w:tcPr>
            <w:tcW w:w="8557" w:type="dxa"/>
          </w:tcPr>
          <w:p w14:paraId="088574E8" w14:textId="77777777" w:rsidR="0046587F" w:rsidRPr="005D6013" w:rsidRDefault="0046587F" w:rsidP="00DA62E8">
            <w:pPr>
              <w:pStyle w:val="Heading3"/>
            </w:pPr>
            <w:r w:rsidRPr="005D6013">
              <w:t xml:space="preserve">We’re stronger together </w:t>
            </w:r>
          </w:p>
          <w:p w14:paraId="02E2AEA5" w14:textId="77777777" w:rsidR="0046587F" w:rsidRPr="00DA62E8" w:rsidRDefault="0046587F" w:rsidP="00DA62E8">
            <w:pPr>
              <w:pStyle w:val="Tablebullet"/>
            </w:pPr>
            <w:r w:rsidRPr="00DA62E8">
              <w:t>Work as a team</w:t>
            </w:r>
          </w:p>
          <w:p w14:paraId="4D52928F" w14:textId="77777777" w:rsidR="0046587F" w:rsidRPr="00BF0C5F" w:rsidRDefault="0046587F" w:rsidP="00DA62E8">
            <w:pPr>
              <w:pStyle w:val="Tablebullet"/>
            </w:pPr>
            <w:r w:rsidRPr="00DA62E8">
              <w:t>Value each other</w:t>
            </w:r>
          </w:p>
        </w:tc>
      </w:tr>
      <w:tr w:rsidR="0046587F" w14:paraId="5134A16D" w14:textId="77777777" w:rsidTr="006336F1">
        <w:tc>
          <w:tcPr>
            <w:tcW w:w="1701" w:type="dxa"/>
            <w:vMerge/>
          </w:tcPr>
          <w:p w14:paraId="264EE07E" w14:textId="77777777" w:rsidR="0046587F" w:rsidRDefault="0046587F" w:rsidP="00DA62E8">
            <w:pPr>
              <w:pStyle w:val="Tablenormal0"/>
            </w:pPr>
          </w:p>
        </w:tc>
        <w:tc>
          <w:tcPr>
            <w:tcW w:w="8557" w:type="dxa"/>
          </w:tcPr>
          <w:p w14:paraId="3B06FF71" w14:textId="77777777" w:rsidR="0046587F" w:rsidRPr="005D6013" w:rsidRDefault="0046587F" w:rsidP="00DA62E8">
            <w:pPr>
              <w:pStyle w:val="Heading3"/>
            </w:pPr>
            <w:r w:rsidRPr="005D6013">
              <w:t xml:space="preserve">We take pride in what we do </w:t>
            </w:r>
          </w:p>
          <w:p w14:paraId="16825856" w14:textId="77777777" w:rsidR="0046587F" w:rsidRPr="00DA62E8" w:rsidRDefault="0046587F" w:rsidP="00DA62E8">
            <w:pPr>
              <w:pStyle w:val="Tablebullet"/>
            </w:pPr>
            <w:r w:rsidRPr="00DA62E8">
              <w:t>Make a positive difference</w:t>
            </w:r>
          </w:p>
          <w:p w14:paraId="21839D42" w14:textId="77777777" w:rsidR="0046587F" w:rsidRPr="00BF0C5F" w:rsidRDefault="0046587F" w:rsidP="00DA62E8">
            <w:pPr>
              <w:pStyle w:val="Tablebullet"/>
            </w:pPr>
            <w:r w:rsidRPr="00DA62E8">
              <w:t>Strive for excellence</w:t>
            </w:r>
          </w:p>
        </w:tc>
      </w:tr>
    </w:tbl>
    <w:p w14:paraId="6B21B221"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06BB8C89" w14:textId="77777777" w:rsidR="00C001F8" w:rsidRDefault="00C001F8" w:rsidP="00C001F8">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640B10A6" w14:textId="77777777" w:rsidR="00DA62E8" w:rsidRDefault="00C001F8">
      <w:r>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178AA8F1" w14:textId="77777777" w:rsidR="00952122" w:rsidRDefault="00952122" w:rsidP="00DA62E8">
      <w:pPr>
        <w:pStyle w:val="Tinyline"/>
        <w:sectPr w:rsidR="00952122"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p w14:paraId="3D7FE9F6" w14:textId="77777777" w:rsidR="006713ED" w:rsidRDefault="006713ED" w:rsidP="00DA62E8">
      <w:pPr>
        <w:pStyle w:val="Tinyline"/>
      </w:pPr>
    </w:p>
    <w:p w14:paraId="6F3F55FC"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5"/>
        <w:gridCol w:w="3860"/>
      </w:tblGrid>
      <w:tr w:rsidR="001C15EE" w:rsidRPr="006B2693" w14:paraId="6C674FC0" w14:textId="77777777" w:rsidTr="00B56035">
        <w:trPr>
          <w:cantSplit/>
          <w:tblHeader/>
        </w:trPr>
        <w:tc>
          <w:tcPr>
            <w:tcW w:w="5655" w:type="dxa"/>
            <w:tcBorders>
              <w:bottom w:val="nil"/>
              <w:right w:val="single" w:sz="6" w:space="0" w:color="FFFFFF" w:themeColor="background1"/>
            </w:tcBorders>
            <w:shd w:val="clear" w:color="auto" w:fill="1F546B" w:themeFill="text2"/>
          </w:tcPr>
          <w:p w14:paraId="6BD299A8"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860" w:type="dxa"/>
            <w:tcBorders>
              <w:left w:val="single" w:sz="6" w:space="0" w:color="FFFFFF" w:themeColor="background1"/>
              <w:bottom w:val="nil"/>
            </w:tcBorders>
            <w:shd w:val="clear" w:color="auto" w:fill="1F546B" w:themeFill="text2"/>
          </w:tcPr>
          <w:p w14:paraId="095DBEA4" w14:textId="77777777" w:rsidR="001C15EE" w:rsidRPr="006B2693" w:rsidRDefault="006B2693" w:rsidP="008023C3">
            <w:pPr>
              <w:pStyle w:val="Tableheading"/>
            </w:pPr>
            <w:r w:rsidRPr="006B2693">
              <w:t>As a result we will see</w:t>
            </w:r>
          </w:p>
        </w:tc>
      </w:tr>
      <w:tr w:rsidR="003D175D" w:rsidRPr="003D175D" w14:paraId="38A48A01" w14:textId="77777777" w:rsidTr="00B56035">
        <w:trPr>
          <w:cantSplit/>
        </w:trPr>
        <w:tc>
          <w:tcPr>
            <w:tcW w:w="5655" w:type="dxa"/>
            <w:tcBorders>
              <w:top w:val="nil"/>
              <w:left w:val="nil"/>
              <w:bottom w:val="single" w:sz="6" w:space="0" w:color="1F546B" w:themeColor="text2"/>
              <w:right w:val="single" w:sz="6" w:space="0" w:color="1F546B" w:themeColor="text2"/>
            </w:tcBorders>
          </w:tcPr>
          <w:p w14:paraId="526B5F1A" w14:textId="77777777" w:rsidR="003D175D" w:rsidRPr="00CF3A47" w:rsidRDefault="00670B98" w:rsidP="003D175D">
            <w:pPr>
              <w:pStyle w:val="Tablenormal0"/>
              <w:rPr>
                <w:b/>
                <w:bCs/>
              </w:rPr>
            </w:pPr>
            <w:r w:rsidRPr="00CF3A47">
              <w:rPr>
                <w:b/>
                <w:bCs/>
              </w:rPr>
              <w:t>Research Services</w:t>
            </w:r>
          </w:p>
          <w:p w14:paraId="7C2C4714" w14:textId="77777777" w:rsidR="00EC386E" w:rsidRPr="00CF3A47" w:rsidRDefault="00EC386E" w:rsidP="00EC386E">
            <w:pPr>
              <w:pStyle w:val="Tablebullet"/>
            </w:pPr>
            <w:r w:rsidRPr="00CF3A47">
              <w:t xml:space="preserve">Respond to </w:t>
            </w:r>
            <w:r w:rsidR="00894052" w:rsidRPr="00CF3A47">
              <w:t xml:space="preserve">onsite and offsite </w:t>
            </w:r>
            <w:r w:rsidRPr="00CF3A47">
              <w:t>research enquiries as part of wider team</w:t>
            </w:r>
          </w:p>
          <w:p w14:paraId="49AFB3EA" w14:textId="77777777" w:rsidR="0016203A" w:rsidRPr="00CF3A47" w:rsidRDefault="0016203A" w:rsidP="0016203A">
            <w:pPr>
              <w:pStyle w:val="Tablebullet"/>
            </w:pPr>
            <w:r w:rsidRPr="00CF3A47">
              <w:t xml:space="preserve">Coaching and development of other staff in </w:t>
            </w:r>
            <w:r w:rsidR="005F12B8" w:rsidRPr="00CF3A47">
              <w:t xml:space="preserve">your </w:t>
            </w:r>
            <w:r w:rsidRPr="00CF3A47">
              <w:t>specialist service area</w:t>
            </w:r>
          </w:p>
          <w:p w14:paraId="7495F657" w14:textId="77777777" w:rsidR="0016203A" w:rsidRPr="00CF3A47" w:rsidRDefault="0016203A" w:rsidP="0016203A">
            <w:pPr>
              <w:pStyle w:val="Tablebullet"/>
            </w:pPr>
            <w:r w:rsidRPr="00CF3A47">
              <w:t xml:space="preserve">Facilitate Iwi/Maori access to </w:t>
            </w:r>
            <w:proofErr w:type="spellStart"/>
            <w:r w:rsidRPr="00CF3A47">
              <w:t>matauranga</w:t>
            </w:r>
            <w:proofErr w:type="spellEnd"/>
            <w:r w:rsidRPr="00CF3A47">
              <w:t xml:space="preserve"> Maori by creating pathways to information in the collections</w:t>
            </w:r>
          </w:p>
          <w:p w14:paraId="38185BBF" w14:textId="77777777" w:rsidR="003D175D" w:rsidRPr="00CF3A47" w:rsidRDefault="003D175D" w:rsidP="002E359F">
            <w:pPr>
              <w:pStyle w:val="Tablebullet"/>
              <w:numPr>
                <w:ilvl w:val="0"/>
                <w:numId w:val="0"/>
              </w:numPr>
              <w:ind w:left="357"/>
            </w:pPr>
          </w:p>
        </w:tc>
        <w:tc>
          <w:tcPr>
            <w:tcW w:w="3860" w:type="dxa"/>
            <w:tcBorders>
              <w:top w:val="nil"/>
              <w:left w:val="single" w:sz="6" w:space="0" w:color="1F546B" w:themeColor="text2"/>
              <w:bottom w:val="single" w:sz="6" w:space="0" w:color="1F546B" w:themeColor="text2"/>
              <w:right w:val="nil"/>
            </w:tcBorders>
          </w:tcPr>
          <w:p w14:paraId="198476D8" w14:textId="77777777" w:rsidR="003D175D" w:rsidRPr="00CF3A47" w:rsidRDefault="00894052" w:rsidP="003D175D">
            <w:pPr>
              <w:pStyle w:val="Tablebullet"/>
              <w:rPr>
                <w:rFonts w:asciiTheme="minorHAnsi" w:hAnsiTheme="minorHAnsi" w:cstheme="minorHAnsi"/>
              </w:rPr>
            </w:pPr>
            <w:r w:rsidRPr="00CF3A47">
              <w:rPr>
                <w:rFonts w:asciiTheme="minorHAnsi" w:hAnsiTheme="minorHAnsi" w:cstheme="minorHAnsi"/>
              </w:rPr>
              <w:t xml:space="preserve">Responses show robust and appropriate research technique and clear communication skills </w:t>
            </w:r>
          </w:p>
          <w:p w14:paraId="09D008C0" w14:textId="77777777" w:rsidR="00B56035" w:rsidRPr="00CF3A47" w:rsidRDefault="00B56035" w:rsidP="00B56035">
            <w:pPr>
              <w:pStyle w:val="Tablebullet"/>
              <w:rPr>
                <w:rFonts w:asciiTheme="minorHAnsi" w:hAnsiTheme="minorHAnsi" w:cstheme="minorHAnsi"/>
              </w:rPr>
            </w:pPr>
            <w:r w:rsidRPr="00CF3A47">
              <w:rPr>
                <w:rFonts w:asciiTheme="minorHAnsi" w:eastAsia="Times New Roman" w:hAnsiTheme="minorHAnsi" w:cstheme="minorHAnsi"/>
                <w:lang w:eastAsia="en-NZ"/>
              </w:rPr>
              <w:t xml:space="preserve">Researchers have successfully identified located and accessed collection items and expertise that answers their research needs.  </w:t>
            </w:r>
          </w:p>
          <w:p w14:paraId="0CEC5DC8" w14:textId="77777777" w:rsidR="00B56035" w:rsidRPr="00CF3A47" w:rsidRDefault="00B56035" w:rsidP="00B56035">
            <w:pPr>
              <w:pStyle w:val="Tablebullet"/>
              <w:rPr>
                <w:rFonts w:asciiTheme="minorHAnsi" w:hAnsiTheme="minorHAnsi" w:cstheme="minorHAnsi"/>
              </w:rPr>
            </w:pPr>
            <w:r w:rsidRPr="00CF3A47">
              <w:rPr>
                <w:rFonts w:asciiTheme="minorHAnsi" w:eastAsia="Times New Roman" w:hAnsiTheme="minorHAnsi" w:cstheme="minorHAnsi"/>
                <w:lang w:eastAsia="en-NZ"/>
              </w:rPr>
              <w:t xml:space="preserve">Researchers have been ‘connected’ with the appropriate specialists, curators or other organisations, who can assist them further.  </w:t>
            </w:r>
          </w:p>
          <w:p w14:paraId="62D685B0" w14:textId="77777777" w:rsidR="00B56035" w:rsidRPr="00CF3A47" w:rsidRDefault="00B56035" w:rsidP="00B56035">
            <w:pPr>
              <w:pStyle w:val="Tablebullet"/>
              <w:rPr>
                <w:rFonts w:asciiTheme="minorHAnsi" w:hAnsiTheme="minorHAnsi" w:cstheme="minorHAnsi"/>
              </w:rPr>
            </w:pPr>
            <w:r w:rsidRPr="00CF3A47">
              <w:rPr>
                <w:rFonts w:asciiTheme="minorHAnsi" w:eastAsia="Times New Roman" w:hAnsiTheme="minorHAnsi" w:cstheme="minorHAnsi"/>
                <w:lang w:eastAsia="en-NZ"/>
              </w:rPr>
              <w:t xml:space="preserve">Researchers understand how our processes operate and where appropriate can use them unassisted.  </w:t>
            </w:r>
          </w:p>
          <w:p w14:paraId="5AD3AE71" w14:textId="77777777" w:rsidR="00B1319E" w:rsidRPr="00CF3A47" w:rsidRDefault="005F12B8" w:rsidP="003D175D">
            <w:pPr>
              <w:pStyle w:val="Tablebullet"/>
              <w:rPr>
                <w:rFonts w:asciiTheme="minorHAnsi" w:hAnsiTheme="minorHAnsi" w:cstheme="minorHAnsi"/>
              </w:rPr>
            </w:pPr>
            <w:r w:rsidRPr="00CF3A47">
              <w:rPr>
                <w:rFonts w:asciiTheme="minorHAnsi" w:hAnsiTheme="minorHAnsi" w:cstheme="minorHAnsi"/>
              </w:rPr>
              <w:t>Current turn-around times are met</w:t>
            </w:r>
          </w:p>
          <w:p w14:paraId="05D80869" w14:textId="77777777" w:rsidR="005F12B8" w:rsidRPr="00CF3A47" w:rsidRDefault="005F12B8" w:rsidP="003D175D">
            <w:pPr>
              <w:pStyle w:val="Tablebullet"/>
              <w:rPr>
                <w:rFonts w:asciiTheme="minorHAnsi" w:hAnsiTheme="minorHAnsi" w:cstheme="minorHAnsi"/>
              </w:rPr>
            </w:pPr>
            <w:r w:rsidRPr="00CF3A47">
              <w:rPr>
                <w:rFonts w:asciiTheme="minorHAnsi" w:hAnsiTheme="minorHAnsi" w:cstheme="minorHAnsi"/>
              </w:rPr>
              <w:t>No significant backlogs</w:t>
            </w:r>
          </w:p>
          <w:p w14:paraId="4BC75213" w14:textId="77777777" w:rsidR="005F12B8" w:rsidRPr="00CF3A47" w:rsidRDefault="005F12B8" w:rsidP="003D175D">
            <w:pPr>
              <w:pStyle w:val="Tablebullet"/>
            </w:pPr>
            <w:r w:rsidRPr="00CF3A47">
              <w:rPr>
                <w:rFonts w:asciiTheme="minorHAnsi" w:hAnsiTheme="minorHAnsi" w:cstheme="minorHAnsi"/>
              </w:rPr>
              <w:t>Positive client feedback</w:t>
            </w:r>
          </w:p>
        </w:tc>
      </w:tr>
      <w:tr w:rsidR="003D175D" w:rsidRPr="003D175D" w14:paraId="04226D9A" w14:textId="77777777" w:rsidTr="00B56035">
        <w:trPr>
          <w:cantSplit/>
        </w:trPr>
        <w:tc>
          <w:tcPr>
            <w:tcW w:w="5655" w:type="dxa"/>
            <w:tcBorders>
              <w:top w:val="nil"/>
              <w:left w:val="nil"/>
              <w:bottom w:val="single" w:sz="6" w:space="0" w:color="1F546B" w:themeColor="text2"/>
              <w:right w:val="single" w:sz="6" w:space="0" w:color="1F546B" w:themeColor="text2"/>
            </w:tcBorders>
          </w:tcPr>
          <w:p w14:paraId="1B4F1FCF" w14:textId="77777777" w:rsidR="003D175D" w:rsidRPr="003D175D" w:rsidRDefault="00B56035" w:rsidP="003D175D">
            <w:pPr>
              <w:pStyle w:val="Tablenormal0"/>
              <w:rPr>
                <w:b/>
                <w:bCs/>
              </w:rPr>
            </w:pPr>
            <w:r>
              <w:rPr>
                <w:b/>
                <w:bCs/>
              </w:rPr>
              <w:t xml:space="preserve">Collection and </w:t>
            </w:r>
            <w:r w:rsidR="0016203A">
              <w:rPr>
                <w:b/>
                <w:bCs/>
              </w:rPr>
              <w:t>Researcher Advocacy</w:t>
            </w:r>
          </w:p>
          <w:p w14:paraId="4583FAB3" w14:textId="77777777" w:rsidR="0016203A" w:rsidRPr="00516BE8" w:rsidRDefault="0016203A" w:rsidP="0016203A">
            <w:pPr>
              <w:pStyle w:val="Tablebullet"/>
            </w:pPr>
            <w:r w:rsidRPr="00516BE8">
              <w:t>Provide leadership and advocacy for researchers in specialist field</w:t>
            </w:r>
          </w:p>
          <w:p w14:paraId="73358F33" w14:textId="77777777" w:rsidR="00013601" w:rsidRPr="00516BE8" w:rsidRDefault="00013601" w:rsidP="00013601">
            <w:pPr>
              <w:pStyle w:val="Tablebullet"/>
            </w:pPr>
            <w:r w:rsidRPr="00516BE8">
              <w:t xml:space="preserve">Develop procedures, user guides and programmes </w:t>
            </w:r>
          </w:p>
          <w:p w14:paraId="68C38020" w14:textId="77777777" w:rsidR="00013601" w:rsidRPr="00516BE8" w:rsidRDefault="00013601" w:rsidP="00013601">
            <w:pPr>
              <w:pStyle w:val="Tablebullet"/>
            </w:pPr>
            <w:r w:rsidRPr="00516BE8">
              <w:t>Undertake scholarship and research activities in area of responsibility</w:t>
            </w:r>
          </w:p>
          <w:p w14:paraId="2F173B58" w14:textId="77777777" w:rsidR="00013601" w:rsidRDefault="00013601" w:rsidP="00013601">
            <w:pPr>
              <w:pStyle w:val="Tablebullet"/>
            </w:pPr>
            <w:r w:rsidRPr="00516BE8">
              <w:t>the development and delivery of Outreach and Public Programme activities</w:t>
            </w:r>
          </w:p>
          <w:p w14:paraId="294C7224" w14:textId="77777777" w:rsidR="003D175D" w:rsidRPr="003D175D" w:rsidRDefault="003D175D" w:rsidP="00BA48EF">
            <w:pPr>
              <w:pStyle w:val="Tablebullet"/>
              <w:numPr>
                <w:ilvl w:val="0"/>
                <w:numId w:val="0"/>
              </w:numPr>
            </w:pPr>
          </w:p>
        </w:tc>
        <w:tc>
          <w:tcPr>
            <w:tcW w:w="3860" w:type="dxa"/>
            <w:tcBorders>
              <w:top w:val="nil"/>
              <w:left w:val="single" w:sz="6" w:space="0" w:color="1F546B" w:themeColor="text2"/>
              <w:bottom w:val="single" w:sz="6" w:space="0" w:color="1F546B" w:themeColor="text2"/>
              <w:right w:val="nil"/>
            </w:tcBorders>
          </w:tcPr>
          <w:p w14:paraId="74C39A61" w14:textId="77777777" w:rsidR="00013601" w:rsidRDefault="00013601" w:rsidP="007067E1">
            <w:pPr>
              <w:pStyle w:val="Tablebullet"/>
            </w:pPr>
            <w:r>
              <w:t xml:space="preserve">User guides and programmes </w:t>
            </w:r>
            <w:r w:rsidRPr="00516BE8">
              <w:t>assist</w:t>
            </w:r>
            <w:r w:rsidRPr="00516BE8">
              <w:t xml:space="preserve"> researchers in both on-site and online use of the Library’s resources</w:t>
            </w:r>
            <w:r w:rsidRPr="00516BE8">
              <w:t xml:space="preserve"> </w:t>
            </w:r>
          </w:p>
          <w:p w14:paraId="0F066A23" w14:textId="77777777" w:rsidR="007067E1" w:rsidRPr="003D175D" w:rsidRDefault="00013601" w:rsidP="007067E1">
            <w:pPr>
              <w:pStyle w:val="Tablebullet"/>
            </w:pPr>
            <w:r>
              <w:t xml:space="preserve">Effective </w:t>
            </w:r>
            <w:r w:rsidR="00684D0C">
              <w:t>engagement</w:t>
            </w:r>
            <w:r w:rsidR="007067E1" w:rsidRPr="00516BE8">
              <w:t xml:space="preserve"> with other groups, in a way that ensures both internal customer needs and those of external agencies are understood and met</w:t>
            </w:r>
          </w:p>
        </w:tc>
      </w:tr>
      <w:tr w:rsidR="0016203A" w:rsidRPr="003D175D" w14:paraId="4D83BD44" w14:textId="77777777" w:rsidTr="00B56035">
        <w:trPr>
          <w:cantSplit/>
        </w:trPr>
        <w:tc>
          <w:tcPr>
            <w:tcW w:w="5655" w:type="dxa"/>
            <w:tcBorders>
              <w:top w:val="nil"/>
              <w:left w:val="nil"/>
              <w:bottom w:val="single" w:sz="6" w:space="0" w:color="1F546B" w:themeColor="text2"/>
              <w:right w:val="single" w:sz="6" w:space="0" w:color="1F546B" w:themeColor="text2"/>
            </w:tcBorders>
          </w:tcPr>
          <w:p w14:paraId="37D358DB" w14:textId="77777777" w:rsidR="0016203A" w:rsidRPr="00CF3A47" w:rsidRDefault="0016203A" w:rsidP="0016203A">
            <w:pPr>
              <w:pStyle w:val="Tablenormal0"/>
              <w:rPr>
                <w:b/>
                <w:bCs/>
              </w:rPr>
            </w:pPr>
            <w:r w:rsidRPr="00CF3A47">
              <w:rPr>
                <w:b/>
                <w:bCs/>
              </w:rPr>
              <w:t>Collection Development</w:t>
            </w:r>
          </w:p>
          <w:p w14:paraId="42048DF8" w14:textId="77777777" w:rsidR="0016203A" w:rsidRPr="00CF3A47" w:rsidRDefault="0016203A" w:rsidP="0016203A">
            <w:pPr>
              <w:pStyle w:val="Tablebullet"/>
            </w:pPr>
            <w:r w:rsidRPr="00CF3A47">
              <w:t>Participate in collection development, and arrangement &amp; description activities</w:t>
            </w:r>
          </w:p>
          <w:p w14:paraId="43C736B7" w14:textId="77777777" w:rsidR="00EB2B6D" w:rsidRPr="00CF3A47" w:rsidRDefault="00EB2B6D" w:rsidP="00EB2B6D">
            <w:pPr>
              <w:pStyle w:val="Tablebullet"/>
            </w:pPr>
            <w:r w:rsidRPr="00CF3A47">
              <w:t>Acquire resources that meet agreed collecting plans and strategies</w:t>
            </w:r>
          </w:p>
          <w:p w14:paraId="4C8AD93B" w14:textId="77777777" w:rsidR="0016203A" w:rsidRPr="00CF3A47" w:rsidRDefault="0016203A" w:rsidP="0016203A">
            <w:pPr>
              <w:pStyle w:val="Tablenormal0"/>
              <w:rPr>
                <w:b/>
                <w:bCs/>
              </w:rPr>
            </w:pPr>
          </w:p>
        </w:tc>
        <w:tc>
          <w:tcPr>
            <w:tcW w:w="3860" w:type="dxa"/>
            <w:tcBorders>
              <w:top w:val="nil"/>
              <w:left w:val="single" w:sz="6" w:space="0" w:color="1F546B" w:themeColor="text2"/>
              <w:bottom w:val="single" w:sz="6" w:space="0" w:color="1F546B" w:themeColor="text2"/>
              <w:right w:val="nil"/>
            </w:tcBorders>
          </w:tcPr>
          <w:p w14:paraId="05BC829B" w14:textId="77777777" w:rsidR="0016203A" w:rsidRPr="00CF3A47" w:rsidRDefault="008320BC" w:rsidP="003D175D">
            <w:pPr>
              <w:pStyle w:val="Tablebullet"/>
            </w:pPr>
            <w:r w:rsidRPr="00CF3A47">
              <w:t>Researchers can easily access relevant, up-to-date reference collections</w:t>
            </w:r>
          </w:p>
          <w:p w14:paraId="2BEB2371" w14:textId="77777777" w:rsidR="007A06ED" w:rsidRPr="00CF3A47" w:rsidRDefault="007A06ED" w:rsidP="003D175D">
            <w:pPr>
              <w:pStyle w:val="Tablebullet"/>
            </w:pPr>
            <w:r w:rsidRPr="00CF3A47">
              <w:t>Descriptive and thesauri work is accurate, consistent, and thorough</w:t>
            </w:r>
          </w:p>
          <w:p w14:paraId="76BB6330" w14:textId="77777777" w:rsidR="007A06ED" w:rsidRPr="00CF3A47" w:rsidRDefault="007A06ED" w:rsidP="003D175D">
            <w:pPr>
              <w:pStyle w:val="Tablebullet"/>
            </w:pPr>
            <w:r w:rsidRPr="00CF3A47">
              <w:t>Archival principles of provenance and original order are followed</w:t>
            </w:r>
          </w:p>
          <w:p w14:paraId="0DD93109" w14:textId="77777777" w:rsidR="007A06ED" w:rsidRPr="00CF3A47" w:rsidRDefault="007A06ED" w:rsidP="003D175D">
            <w:pPr>
              <w:pStyle w:val="Tablebullet"/>
            </w:pPr>
            <w:r w:rsidRPr="00CF3A47">
              <w:t>Records comply with content and encoding standards designated for use in ATL descriptions</w:t>
            </w:r>
          </w:p>
          <w:p w14:paraId="603ADED7" w14:textId="77777777" w:rsidR="00B54C50" w:rsidRPr="00CF3A47" w:rsidRDefault="007A06ED" w:rsidP="003F159C">
            <w:pPr>
              <w:pStyle w:val="Tablebullet"/>
            </w:pPr>
            <w:r w:rsidRPr="00CF3A47">
              <w:t>Descriptive records are completed within agreed timeframes</w:t>
            </w:r>
          </w:p>
        </w:tc>
      </w:tr>
      <w:tr w:rsidR="0016203A" w:rsidRPr="003D175D" w14:paraId="3CE653BC" w14:textId="77777777" w:rsidTr="00B56035">
        <w:trPr>
          <w:cantSplit/>
        </w:trPr>
        <w:tc>
          <w:tcPr>
            <w:tcW w:w="5655" w:type="dxa"/>
            <w:tcBorders>
              <w:top w:val="nil"/>
              <w:left w:val="nil"/>
              <w:bottom w:val="single" w:sz="6" w:space="0" w:color="1F546B" w:themeColor="text2"/>
              <w:right w:val="single" w:sz="6" w:space="0" w:color="1F546B" w:themeColor="text2"/>
            </w:tcBorders>
          </w:tcPr>
          <w:p w14:paraId="5200A767" w14:textId="77777777" w:rsidR="0016203A" w:rsidRPr="003D175D" w:rsidRDefault="007067E1" w:rsidP="0016203A">
            <w:pPr>
              <w:pStyle w:val="Tablenormal0"/>
              <w:rPr>
                <w:b/>
                <w:bCs/>
              </w:rPr>
            </w:pPr>
            <w:r>
              <w:rPr>
                <w:b/>
                <w:bCs/>
              </w:rPr>
              <w:t>Continuous Learning</w:t>
            </w:r>
          </w:p>
          <w:p w14:paraId="7E23021E" w14:textId="77777777" w:rsidR="00EB2B6D" w:rsidRDefault="007067E1" w:rsidP="00EB2B6D">
            <w:pPr>
              <w:pStyle w:val="Tablebullet"/>
            </w:pPr>
            <w:r w:rsidRPr="00516BE8">
              <w:t>Ensure that a process of continuous review and improvement is inherent throughout all elements of Research Enquiry Service</w:t>
            </w:r>
          </w:p>
          <w:p w14:paraId="201521BA" w14:textId="77777777" w:rsidR="0016203A" w:rsidRPr="00EB2B6D" w:rsidRDefault="00EB2B6D" w:rsidP="00EB2B6D">
            <w:pPr>
              <w:pStyle w:val="Tablebullet"/>
            </w:pPr>
            <w:r w:rsidRPr="00516BE8">
              <w:t>Draw on knowledge of best practice, advances in technology, and relevant research</w:t>
            </w:r>
          </w:p>
        </w:tc>
        <w:tc>
          <w:tcPr>
            <w:tcW w:w="3860" w:type="dxa"/>
            <w:tcBorders>
              <w:top w:val="nil"/>
              <w:left w:val="single" w:sz="6" w:space="0" w:color="1F546B" w:themeColor="text2"/>
              <w:bottom w:val="single" w:sz="6" w:space="0" w:color="1F546B" w:themeColor="text2"/>
              <w:right w:val="nil"/>
            </w:tcBorders>
          </w:tcPr>
          <w:p w14:paraId="65BB948A" w14:textId="77777777" w:rsidR="007067E1" w:rsidRPr="00516BE8" w:rsidRDefault="007067E1" w:rsidP="007067E1">
            <w:pPr>
              <w:pStyle w:val="Tablebullet"/>
            </w:pPr>
            <w:r w:rsidRPr="00516BE8">
              <w:t>Identify opportunities for enhancing the overall Research Enquiry Service capability</w:t>
            </w:r>
          </w:p>
          <w:p w14:paraId="683E6645" w14:textId="77777777" w:rsidR="0016203A" w:rsidRDefault="00EB2B6D" w:rsidP="007067E1">
            <w:pPr>
              <w:pStyle w:val="Tablebullet"/>
            </w:pPr>
            <w:r>
              <w:t>D</w:t>
            </w:r>
            <w:r w:rsidR="007067E1" w:rsidRPr="00516BE8">
              <w:t>evelop an informed view of opportunities and challenges to transforming the organisation’s Research Enquiry Service systems</w:t>
            </w:r>
          </w:p>
        </w:tc>
      </w:tr>
      <w:tr w:rsidR="003D175D" w:rsidRPr="003D175D" w14:paraId="33DBE31C" w14:textId="77777777" w:rsidTr="00B56035">
        <w:trPr>
          <w:cantSplit/>
        </w:trPr>
        <w:tc>
          <w:tcPr>
            <w:tcW w:w="5655" w:type="dxa"/>
            <w:tcBorders>
              <w:top w:val="nil"/>
              <w:left w:val="nil"/>
              <w:bottom w:val="single" w:sz="6" w:space="0" w:color="1F546B" w:themeColor="text2"/>
              <w:right w:val="single" w:sz="6" w:space="0" w:color="1F546B" w:themeColor="text2"/>
            </w:tcBorders>
          </w:tcPr>
          <w:p w14:paraId="6B273800" w14:textId="77777777" w:rsidR="003D175D" w:rsidRPr="003D175D" w:rsidRDefault="003D175D" w:rsidP="003D175D">
            <w:pPr>
              <w:pStyle w:val="Tablenormal0"/>
              <w:rPr>
                <w:b/>
                <w:bCs/>
              </w:rPr>
            </w:pPr>
            <w:r>
              <w:rPr>
                <w:b/>
                <w:bCs/>
              </w:rPr>
              <w:t>Health and safety (for self)</w:t>
            </w:r>
          </w:p>
          <w:p w14:paraId="5A9C36A2" w14:textId="77777777" w:rsidR="00596858" w:rsidRDefault="00596858" w:rsidP="00596858">
            <w:pPr>
              <w:pStyle w:val="Tablebullet"/>
            </w:pPr>
            <w:r>
              <w:t>Work safely and take responsibility for keeping self and colleagues free from harm</w:t>
            </w:r>
          </w:p>
          <w:p w14:paraId="35E8CE94" w14:textId="77777777" w:rsidR="00596858" w:rsidRDefault="00596858" w:rsidP="00596858">
            <w:pPr>
              <w:pStyle w:val="Tablebullet"/>
            </w:pPr>
            <w:r>
              <w:t>Report all incidents and hazards promptly</w:t>
            </w:r>
          </w:p>
          <w:p w14:paraId="3F49C28E" w14:textId="77777777" w:rsidR="00596858" w:rsidRDefault="00596858" w:rsidP="00596858">
            <w:pPr>
              <w:pStyle w:val="Tablebullet"/>
            </w:pPr>
            <w:r>
              <w:t>Know what to do in the event of an emergency</w:t>
            </w:r>
          </w:p>
          <w:p w14:paraId="0BB9A3AC" w14:textId="77777777" w:rsidR="003D175D" w:rsidRPr="003D175D" w:rsidRDefault="00596858" w:rsidP="00596858">
            <w:pPr>
              <w:pStyle w:val="Tablebullet"/>
            </w:pPr>
            <w:r>
              <w:t>Cooperate in implementing return to work plans</w:t>
            </w:r>
          </w:p>
        </w:tc>
        <w:tc>
          <w:tcPr>
            <w:tcW w:w="3860" w:type="dxa"/>
            <w:tcBorders>
              <w:top w:val="nil"/>
              <w:left w:val="single" w:sz="6" w:space="0" w:color="1F546B" w:themeColor="text2"/>
              <w:bottom w:val="single" w:sz="6" w:space="0" w:color="1F546B" w:themeColor="text2"/>
              <w:right w:val="nil"/>
            </w:tcBorders>
          </w:tcPr>
          <w:p w14:paraId="6BC8A80B" w14:textId="77777777" w:rsidR="00410084" w:rsidRDefault="00410084" w:rsidP="00410084">
            <w:pPr>
              <w:pStyle w:val="Tablebullet"/>
            </w:pPr>
            <w:r w:rsidRPr="009161CB">
              <w:t>A safe and health</w:t>
            </w:r>
            <w:r>
              <w:t>y</w:t>
            </w:r>
            <w:r w:rsidRPr="009161CB">
              <w:t xml:space="preserve"> workplace for all people using our sites as a place of work.</w:t>
            </w:r>
          </w:p>
          <w:p w14:paraId="0BE38E6F" w14:textId="77777777" w:rsidR="003D175D" w:rsidRPr="003D175D" w:rsidRDefault="00410084" w:rsidP="00410084">
            <w:pPr>
              <w:pStyle w:val="Tablebullet"/>
            </w:pPr>
            <w:r w:rsidRPr="006B2693">
              <w:t>Health and</w:t>
            </w:r>
            <w:r>
              <w:t xml:space="preserve"> safety guidelines are followed</w:t>
            </w:r>
          </w:p>
        </w:tc>
      </w:tr>
    </w:tbl>
    <w:p w14:paraId="15A47826"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2C1E4435" w14:textId="77777777" w:rsidTr="001D30D4">
        <w:trPr>
          <w:trHeight w:val="737"/>
          <w:tblHeader/>
        </w:trPr>
        <w:tc>
          <w:tcPr>
            <w:tcW w:w="5842" w:type="dxa"/>
            <w:gridSpan w:val="2"/>
            <w:tcBorders>
              <w:bottom w:val="single" w:sz="6" w:space="0" w:color="1F546B" w:themeColor="text2"/>
            </w:tcBorders>
          </w:tcPr>
          <w:p w14:paraId="61A20E83"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2113A716"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09FDB543"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651F7CA4"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03FD8D5A"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31246D25" w14:textId="77777777" w:rsidR="006B2693" w:rsidRPr="00267EDC" w:rsidRDefault="006B2693" w:rsidP="00267EDC">
            <w:pPr>
              <w:pStyle w:val="Tableverticaltext"/>
            </w:pPr>
            <w:r w:rsidRPr="00267EDC">
              <w:t>Manage/</w:t>
            </w:r>
          </w:p>
          <w:p w14:paraId="5D7BE7CD"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7578889F" w14:textId="77777777" w:rsidR="006B2693" w:rsidRPr="00267EDC" w:rsidRDefault="006B2693" w:rsidP="00267EDC">
            <w:pPr>
              <w:pStyle w:val="Tableverticaltext"/>
            </w:pPr>
            <w:r w:rsidRPr="00267EDC">
              <w:t>Deliver to</w:t>
            </w:r>
          </w:p>
        </w:tc>
      </w:tr>
      <w:tr w:rsidR="006B2693" w:rsidRPr="00267EDC" w14:paraId="34804D73"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202B7641"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3E645CA7" w14:textId="77777777" w:rsidR="006B2693" w:rsidRPr="00267EDC" w:rsidRDefault="006B2693" w:rsidP="00267EDC"/>
        </w:tc>
        <w:tc>
          <w:tcPr>
            <w:tcW w:w="652" w:type="dxa"/>
            <w:vMerge/>
            <w:tcBorders>
              <w:bottom w:val="single" w:sz="6" w:space="0" w:color="1F546B" w:themeColor="text2"/>
            </w:tcBorders>
            <w:textDirection w:val="btLr"/>
          </w:tcPr>
          <w:p w14:paraId="2B433F9F" w14:textId="77777777" w:rsidR="006B2693" w:rsidRPr="00267EDC" w:rsidRDefault="006B2693" w:rsidP="00267EDC"/>
        </w:tc>
        <w:tc>
          <w:tcPr>
            <w:tcW w:w="652" w:type="dxa"/>
            <w:vMerge/>
            <w:tcBorders>
              <w:bottom w:val="single" w:sz="6" w:space="0" w:color="1F546B" w:themeColor="text2"/>
            </w:tcBorders>
            <w:textDirection w:val="btLr"/>
          </w:tcPr>
          <w:p w14:paraId="4DEC7F24" w14:textId="77777777" w:rsidR="006B2693" w:rsidRPr="00267EDC" w:rsidRDefault="006B2693" w:rsidP="00267EDC"/>
        </w:tc>
        <w:tc>
          <w:tcPr>
            <w:tcW w:w="651" w:type="dxa"/>
            <w:vMerge/>
            <w:tcBorders>
              <w:bottom w:val="single" w:sz="6" w:space="0" w:color="1F546B" w:themeColor="text2"/>
            </w:tcBorders>
            <w:textDirection w:val="btLr"/>
          </w:tcPr>
          <w:p w14:paraId="04D673C1" w14:textId="77777777" w:rsidR="006B2693" w:rsidRPr="00267EDC" w:rsidRDefault="006B2693" w:rsidP="00267EDC"/>
        </w:tc>
        <w:tc>
          <w:tcPr>
            <w:tcW w:w="652" w:type="dxa"/>
            <w:vMerge/>
            <w:tcBorders>
              <w:bottom w:val="single" w:sz="6" w:space="0" w:color="1F546B" w:themeColor="text2"/>
            </w:tcBorders>
            <w:textDirection w:val="btLr"/>
          </w:tcPr>
          <w:p w14:paraId="32236744"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133D5F5E" w14:textId="77777777" w:rsidR="006B2693" w:rsidRPr="00267EDC" w:rsidRDefault="006B2693" w:rsidP="00267EDC"/>
        </w:tc>
      </w:tr>
      <w:tr w:rsidR="00B54C50" w:rsidRPr="001D30D4" w14:paraId="6D4DC424" w14:textId="77777777" w:rsidTr="006A1058">
        <w:trPr>
          <w:trHeight w:val="345"/>
        </w:trPr>
        <w:tc>
          <w:tcPr>
            <w:tcW w:w="1134" w:type="dxa"/>
            <w:vMerge w:val="restart"/>
            <w:tcBorders>
              <w:top w:val="single" w:sz="6" w:space="0" w:color="1F546B" w:themeColor="text2"/>
              <w:right w:val="single" w:sz="6" w:space="0" w:color="1F546B" w:themeColor="text2"/>
            </w:tcBorders>
            <w:vAlign w:val="center"/>
          </w:tcPr>
          <w:p w14:paraId="39280660" w14:textId="77777777" w:rsidR="00B54C50" w:rsidRPr="001D30D4" w:rsidRDefault="00B54C50" w:rsidP="00B54C50">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4F89634C" w14:textId="77777777" w:rsidR="00B54C50" w:rsidRPr="00B54C50" w:rsidRDefault="00B54C50" w:rsidP="00B54C50">
            <w:pPr>
              <w:rPr>
                <w:rFonts w:asciiTheme="minorHAnsi" w:hAnsiTheme="minorHAnsi" w:cstheme="minorHAnsi"/>
                <w:szCs w:val="22"/>
              </w:rPr>
            </w:pPr>
            <w:r w:rsidRPr="00B54C50">
              <w:rPr>
                <w:rFonts w:asciiTheme="minorHAnsi" w:hAnsiTheme="minorHAnsi" w:cstheme="minorHAnsi"/>
                <w:szCs w:val="22"/>
              </w:rPr>
              <w:t>Reading Room Services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4B32CF4"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8D07E62"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18D451B" w14:textId="77777777" w:rsidR="00B54C50" w:rsidRPr="00DE366C" w:rsidRDefault="00B54C50" w:rsidP="00B54C50">
            <w:pPr>
              <w:pStyle w:val="Tablenormalcondensed"/>
            </w:pPr>
            <w:r w:rsidRPr="00DE366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A0C592"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9C844AF" w14:textId="77777777" w:rsidR="00B54C50" w:rsidRPr="00DE366C" w:rsidRDefault="00B54C50" w:rsidP="00B54C50">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2FFE054" w14:textId="77777777" w:rsidR="00B54C50" w:rsidRPr="00DE366C" w:rsidRDefault="00B54C50" w:rsidP="00B54C50">
            <w:pPr>
              <w:pStyle w:val="Tablenormalcondensed"/>
            </w:pPr>
            <w:r w:rsidRPr="00DE366C">
              <w:sym w:font="Wingdings" w:char="F0FC"/>
            </w:r>
          </w:p>
        </w:tc>
      </w:tr>
      <w:tr w:rsidR="00B54C50" w:rsidRPr="001D30D4" w14:paraId="321E5448" w14:textId="77777777" w:rsidTr="006A1058">
        <w:trPr>
          <w:trHeight w:val="345"/>
        </w:trPr>
        <w:tc>
          <w:tcPr>
            <w:tcW w:w="1134" w:type="dxa"/>
            <w:vMerge/>
            <w:tcBorders>
              <w:right w:val="single" w:sz="6" w:space="0" w:color="1F546B" w:themeColor="text2"/>
            </w:tcBorders>
            <w:vAlign w:val="center"/>
          </w:tcPr>
          <w:p w14:paraId="5B6A79CF" w14:textId="77777777" w:rsidR="00B54C50" w:rsidRPr="001D30D4" w:rsidRDefault="00B54C50" w:rsidP="00B54C50">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1ECFE739" w14:textId="77777777" w:rsidR="00B54C50" w:rsidRPr="00B54C50" w:rsidRDefault="00B54C50" w:rsidP="00B54C50">
            <w:pPr>
              <w:rPr>
                <w:rFonts w:asciiTheme="minorHAnsi" w:hAnsiTheme="minorHAnsi" w:cstheme="minorHAnsi"/>
                <w:szCs w:val="22"/>
              </w:rPr>
            </w:pPr>
            <w:r w:rsidRPr="00B54C50">
              <w:rPr>
                <w:rFonts w:asciiTheme="minorHAnsi" w:hAnsiTheme="minorHAnsi" w:cstheme="minorHAnsi"/>
                <w:szCs w:val="22"/>
              </w:rPr>
              <w:t>Distance Enquiries Services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8E63433"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26D4EBD"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67263B4" w14:textId="77777777" w:rsidR="00B54C50" w:rsidRPr="00DE366C" w:rsidRDefault="00B54C50" w:rsidP="00B54C50">
            <w:pPr>
              <w:pStyle w:val="Tablenormalcondensed"/>
            </w:pPr>
            <w:r w:rsidRPr="00DE366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D67CF52"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2898250" w14:textId="77777777" w:rsidR="00B54C50" w:rsidRPr="00DE366C" w:rsidRDefault="00B54C50" w:rsidP="00B54C50">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05904EA" w14:textId="77777777" w:rsidR="00B54C50" w:rsidRPr="00DE366C" w:rsidRDefault="00B54C50" w:rsidP="00B54C50">
            <w:pPr>
              <w:pStyle w:val="Tablenormalcondensed"/>
            </w:pPr>
            <w:r w:rsidRPr="00DE366C">
              <w:sym w:font="Wingdings" w:char="F0FC"/>
            </w:r>
          </w:p>
        </w:tc>
      </w:tr>
      <w:tr w:rsidR="00B54C50" w:rsidRPr="001D30D4" w14:paraId="7646DD99" w14:textId="77777777" w:rsidTr="006A1058">
        <w:trPr>
          <w:trHeight w:val="345"/>
        </w:trPr>
        <w:tc>
          <w:tcPr>
            <w:tcW w:w="1134" w:type="dxa"/>
            <w:vMerge/>
            <w:tcBorders>
              <w:right w:val="single" w:sz="6" w:space="0" w:color="1F546B" w:themeColor="text2"/>
            </w:tcBorders>
            <w:vAlign w:val="center"/>
          </w:tcPr>
          <w:p w14:paraId="50942EBD" w14:textId="77777777" w:rsidR="00B54C50" w:rsidRPr="001D30D4" w:rsidRDefault="00B54C50" w:rsidP="00B54C50">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FD1E7AB" w14:textId="77777777" w:rsidR="00B54C50" w:rsidRPr="00B54C50" w:rsidRDefault="00B54C50" w:rsidP="00B54C50">
            <w:pPr>
              <w:rPr>
                <w:rFonts w:asciiTheme="minorHAnsi" w:hAnsiTheme="minorHAnsi" w:cstheme="minorHAnsi"/>
                <w:szCs w:val="22"/>
              </w:rPr>
            </w:pPr>
            <w:r w:rsidRPr="00B54C50">
              <w:rPr>
                <w:rFonts w:asciiTheme="minorHAnsi" w:hAnsiTheme="minorHAnsi" w:cstheme="minorHAnsi"/>
                <w:szCs w:val="22"/>
              </w:rPr>
              <w:t>Outreach Services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2B17140"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C526DD5"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14C4617" w14:textId="77777777" w:rsidR="00B54C50" w:rsidRPr="00DE366C" w:rsidRDefault="00B54C50" w:rsidP="00B54C50">
            <w:pPr>
              <w:pStyle w:val="Tablenormalcondensed"/>
            </w:pPr>
            <w:r w:rsidRPr="00DE366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629C5A9"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B90AE0D" w14:textId="77777777" w:rsidR="00B54C50" w:rsidRPr="00DE366C" w:rsidRDefault="00B54C50" w:rsidP="00B54C50">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871F167" w14:textId="77777777" w:rsidR="00B54C50" w:rsidRPr="00DE366C" w:rsidRDefault="00B54C50" w:rsidP="00B54C50">
            <w:pPr>
              <w:pStyle w:val="Tablenormalcondensed"/>
            </w:pPr>
            <w:r w:rsidRPr="00DE366C">
              <w:sym w:font="Wingdings" w:char="F0FC"/>
            </w:r>
          </w:p>
        </w:tc>
      </w:tr>
      <w:tr w:rsidR="00B54C50" w:rsidRPr="001D30D4" w14:paraId="570740DC" w14:textId="77777777" w:rsidTr="006A1058">
        <w:trPr>
          <w:trHeight w:val="345"/>
        </w:trPr>
        <w:tc>
          <w:tcPr>
            <w:tcW w:w="1134" w:type="dxa"/>
            <w:vMerge/>
            <w:tcBorders>
              <w:right w:val="single" w:sz="6" w:space="0" w:color="1F546B" w:themeColor="text2"/>
            </w:tcBorders>
            <w:vAlign w:val="center"/>
          </w:tcPr>
          <w:p w14:paraId="17B026FA" w14:textId="77777777" w:rsidR="00B54C50" w:rsidRPr="001D30D4" w:rsidRDefault="00B54C50" w:rsidP="00B54C50">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D409FA" w14:textId="77777777" w:rsidR="00B54C50" w:rsidRPr="00B54C50" w:rsidRDefault="00B54C50" w:rsidP="00B54C50">
            <w:pPr>
              <w:rPr>
                <w:rFonts w:asciiTheme="minorHAnsi" w:hAnsiTheme="minorHAnsi" w:cstheme="minorHAnsi"/>
                <w:szCs w:val="22"/>
              </w:rPr>
            </w:pPr>
            <w:r w:rsidRPr="00B54C50">
              <w:rPr>
                <w:rFonts w:asciiTheme="minorHAnsi" w:hAnsiTheme="minorHAnsi" w:cstheme="minorHAnsi"/>
                <w:szCs w:val="22"/>
              </w:rPr>
              <w:t>Imaging Services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08FAEC2"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3303ABE"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4A6502" w14:textId="77777777" w:rsidR="00B54C50" w:rsidRPr="00DE366C" w:rsidRDefault="00B54C50" w:rsidP="00B54C50">
            <w:pPr>
              <w:pStyle w:val="Tablenormalcondensed"/>
            </w:pPr>
            <w:r w:rsidRPr="00DE366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D1203B3" w14:textId="77777777" w:rsidR="00B54C50" w:rsidRPr="00DE366C" w:rsidRDefault="00B54C50" w:rsidP="00B54C50">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724BB2D" w14:textId="77777777" w:rsidR="00B54C50" w:rsidRPr="00DE366C" w:rsidRDefault="00B54C50" w:rsidP="00B54C50">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72D7C52" w14:textId="77777777" w:rsidR="00B54C50" w:rsidRPr="00DE366C" w:rsidRDefault="00B54C50" w:rsidP="00B54C50">
            <w:pPr>
              <w:pStyle w:val="Tablenormalcondensed"/>
            </w:pPr>
            <w:r w:rsidRPr="00DE366C">
              <w:sym w:font="Wingdings" w:char="F0FC"/>
            </w:r>
          </w:p>
        </w:tc>
      </w:tr>
      <w:tr w:rsidR="00B54C50" w:rsidRPr="001D30D4" w14:paraId="5020334C" w14:textId="77777777" w:rsidTr="006A1058">
        <w:trPr>
          <w:trHeight w:val="345"/>
        </w:trPr>
        <w:tc>
          <w:tcPr>
            <w:tcW w:w="1134" w:type="dxa"/>
            <w:vMerge/>
            <w:tcBorders>
              <w:right w:val="single" w:sz="6" w:space="0" w:color="1F546B" w:themeColor="text2"/>
            </w:tcBorders>
            <w:vAlign w:val="center"/>
          </w:tcPr>
          <w:p w14:paraId="4C50276A" w14:textId="77777777" w:rsidR="00B54C50" w:rsidRPr="001D30D4" w:rsidRDefault="00B54C50" w:rsidP="00B54C50">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3A04F223" w14:textId="77777777" w:rsidR="00B54C50" w:rsidRPr="00CF3A47" w:rsidRDefault="00B54C50" w:rsidP="00B54C50">
            <w:pPr>
              <w:rPr>
                <w:rFonts w:asciiTheme="minorHAnsi" w:hAnsiTheme="minorHAnsi" w:cstheme="minorHAnsi"/>
                <w:szCs w:val="22"/>
              </w:rPr>
            </w:pPr>
            <w:r w:rsidRPr="00CF3A47">
              <w:rPr>
                <w:rFonts w:asciiTheme="minorHAnsi" w:hAnsiTheme="minorHAnsi" w:cstheme="minorHAnsi"/>
                <w:szCs w:val="22"/>
              </w:rPr>
              <w:t>Curatorial Services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CA0061" w14:textId="77777777" w:rsidR="00B54C50" w:rsidRPr="00CF3A47" w:rsidRDefault="00B54C50" w:rsidP="00B54C50">
            <w:pPr>
              <w:pStyle w:val="Tablenormalcondensed"/>
            </w:pPr>
            <w:r w:rsidRPr="00CF3A4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27D7702" w14:textId="77777777" w:rsidR="00B54C50" w:rsidRPr="00CF3A47" w:rsidRDefault="00B54C50" w:rsidP="00B54C50">
            <w:pPr>
              <w:pStyle w:val="Tablenormalcondensed"/>
            </w:pPr>
            <w:r w:rsidRPr="00CF3A4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4B659E" w14:textId="77777777" w:rsidR="00B54C50" w:rsidRPr="00CF3A47" w:rsidRDefault="00B54C50" w:rsidP="00B54C50">
            <w:pPr>
              <w:pStyle w:val="Tablenormalcondensed"/>
            </w:pPr>
            <w:r w:rsidRPr="00CF3A4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186025E" w14:textId="77777777" w:rsidR="00B54C50" w:rsidRPr="00CF3A47" w:rsidRDefault="00B54C50" w:rsidP="00B54C50">
            <w:pPr>
              <w:pStyle w:val="Tablenormalcondensed"/>
            </w:pPr>
            <w:r w:rsidRPr="00CF3A4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158AD2" w14:textId="77777777" w:rsidR="00B54C50" w:rsidRPr="00CF3A47" w:rsidRDefault="00B54C50" w:rsidP="00B54C50">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E7B6D63" w14:textId="77777777" w:rsidR="00B54C50" w:rsidRPr="00CF3A47" w:rsidRDefault="00B54C50" w:rsidP="00B54C50">
            <w:pPr>
              <w:pStyle w:val="Tablenormalcondensed"/>
            </w:pPr>
            <w:r w:rsidRPr="00CF3A47">
              <w:sym w:font="Wingdings" w:char="F0FC"/>
            </w:r>
          </w:p>
        </w:tc>
      </w:tr>
      <w:tr w:rsidR="00DE366C" w:rsidRPr="001D30D4" w14:paraId="55357520" w14:textId="77777777" w:rsidTr="006A1058">
        <w:trPr>
          <w:trHeight w:val="345"/>
        </w:trPr>
        <w:tc>
          <w:tcPr>
            <w:tcW w:w="1134" w:type="dxa"/>
            <w:vMerge/>
            <w:tcBorders>
              <w:bottom w:val="single" w:sz="6" w:space="0" w:color="1F546B" w:themeColor="text2"/>
              <w:right w:val="single" w:sz="6" w:space="0" w:color="1F546B" w:themeColor="text2"/>
            </w:tcBorders>
            <w:vAlign w:val="center"/>
          </w:tcPr>
          <w:p w14:paraId="7E5CDD9F" w14:textId="77777777" w:rsidR="00DE366C" w:rsidRPr="001D30D4" w:rsidRDefault="00DE366C" w:rsidP="00DE366C">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4BAF15FF" w14:textId="77777777" w:rsidR="00DE366C" w:rsidRPr="00CF3A47" w:rsidRDefault="00DE366C" w:rsidP="00DE366C">
            <w:pPr>
              <w:rPr>
                <w:rFonts w:asciiTheme="minorHAnsi" w:hAnsiTheme="minorHAnsi" w:cstheme="minorHAnsi"/>
                <w:szCs w:val="22"/>
              </w:rPr>
            </w:pPr>
            <w:r w:rsidRPr="00CF3A47">
              <w:rPr>
                <w:rFonts w:asciiTheme="minorHAnsi" w:hAnsiTheme="minorHAnsi" w:cstheme="minorHAnsi"/>
                <w:szCs w:val="22"/>
              </w:rPr>
              <w:t>National Library outreach function</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6EBAD95" w14:textId="77777777" w:rsidR="00DE366C" w:rsidRPr="00CF3A47" w:rsidRDefault="00DE366C" w:rsidP="00DE366C">
            <w:pPr>
              <w:pStyle w:val="Tablenormalcondensed"/>
            </w:pPr>
            <w:r w:rsidRPr="00CF3A4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A6EEDB7" w14:textId="77777777" w:rsidR="00DE366C" w:rsidRPr="00CF3A47" w:rsidRDefault="00DE366C" w:rsidP="00DE366C">
            <w:pPr>
              <w:pStyle w:val="Tablenormalcondensed"/>
            </w:pPr>
            <w:r w:rsidRPr="00CF3A4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CA27559" w14:textId="77777777" w:rsidR="00DE366C" w:rsidRPr="00CF3A47" w:rsidRDefault="00DE366C" w:rsidP="00DE366C">
            <w:pPr>
              <w:pStyle w:val="Tablenormalcondensed"/>
            </w:pPr>
            <w:r w:rsidRPr="00CF3A4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F7CB871" w14:textId="77777777" w:rsidR="00DE366C" w:rsidRPr="00CF3A47" w:rsidRDefault="00DE366C" w:rsidP="00DE366C">
            <w:pPr>
              <w:pStyle w:val="Tablenormalcondensed"/>
            </w:pPr>
            <w:r w:rsidRPr="00CF3A4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EBC8A1D" w14:textId="77777777" w:rsidR="00DE366C" w:rsidRPr="00CF3A47" w:rsidRDefault="00DE366C" w:rsidP="00DE366C">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20B43D1" w14:textId="77777777" w:rsidR="00DE366C" w:rsidRPr="00CF3A47" w:rsidRDefault="00DE366C" w:rsidP="00DE366C">
            <w:pPr>
              <w:pStyle w:val="Tablenormalcondensed"/>
            </w:pPr>
            <w:r w:rsidRPr="00CF3A47">
              <w:sym w:font="Wingdings" w:char="F0FC"/>
            </w:r>
          </w:p>
        </w:tc>
      </w:tr>
      <w:tr w:rsidR="00DE366C" w:rsidRPr="001D30D4" w14:paraId="6E629EBF" w14:textId="77777777" w:rsidTr="00EF62ED">
        <w:trPr>
          <w:trHeight w:val="233"/>
        </w:trPr>
        <w:tc>
          <w:tcPr>
            <w:tcW w:w="1134" w:type="dxa"/>
            <w:vMerge w:val="restart"/>
            <w:tcBorders>
              <w:top w:val="single" w:sz="6" w:space="0" w:color="1F546B" w:themeColor="text2"/>
              <w:right w:val="single" w:sz="6" w:space="0" w:color="1F546B" w:themeColor="text2"/>
            </w:tcBorders>
            <w:vAlign w:val="center"/>
          </w:tcPr>
          <w:p w14:paraId="7EDB4269" w14:textId="77777777" w:rsidR="00DE366C" w:rsidRPr="0001097B" w:rsidRDefault="00DE366C" w:rsidP="00DE366C">
            <w:pPr>
              <w:pStyle w:val="Tablenormalcondensed"/>
            </w:pPr>
            <w:r w:rsidRPr="0001097B">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3C8FA4AA" w14:textId="77777777" w:rsidR="00DE366C" w:rsidRPr="0001097B" w:rsidRDefault="00DE366C" w:rsidP="00DE366C">
            <w:pPr>
              <w:rPr>
                <w:rFonts w:asciiTheme="minorHAnsi" w:hAnsiTheme="minorHAnsi" w:cstheme="minorHAnsi"/>
                <w:szCs w:val="22"/>
              </w:rPr>
            </w:pPr>
            <w:r w:rsidRPr="0001097B">
              <w:rPr>
                <w:rFonts w:cs="Arial"/>
                <w:szCs w:val="22"/>
              </w:rPr>
              <w:t xml:space="preserve">Researchers from </w:t>
            </w:r>
            <w:proofErr w:type="gramStart"/>
            <w:r w:rsidRPr="0001097B">
              <w:rPr>
                <w:rFonts w:cs="Arial"/>
                <w:szCs w:val="22"/>
              </w:rPr>
              <w:t>particular communities</w:t>
            </w:r>
            <w:proofErr w:type="gramEnd"/>
            <w:r w:rsidRPr="0001097B">
              <w:rPr>
                <w:rFonts w:cs="Arial"/>
                <w:szCs w:val="22"/>
              </w:rPr>
              <w:t xml:space="preserve"> or subject interests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DACE499"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CCAAF6E"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6B8CD87" w14:textId="77777777" w:rsidR="00DE366C" w:rsidRPr="00DE366C" w:rsidRDefault="00DE366C" w:rsidP="00DE366C">
            <w:pPr>
              <w:pStyle w:val="Tablenormalcondensed"/>
            </w:pPr>
            <w:r w:rsidRPr="00DE366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AB18139"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6B71EA2"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A1EE5CC" w14:textId="77777777" w:rsidR="00DE366C" w:rsidRPr="00DE366C" w:rsidRDefault="00DE366C" w:rsidP="00DE366C">
            <w:pPr>
              <w:pStyle w:val="Tablenormalcondensed"/>
            </w:pPr>
            <w:r w:rsidRPr="00DE366C">
              <w:sym w:font="Wingdings" w:char="F0FC"/>
            </w:r>
          </w:p>
        </w:tc>
      </w:tr>
      <w:tr w:rsidR="00DE366C" w:rsidRPr="001D30D4" w14:paraId="34AD4A66" w14:textId="77777777" w:rsidTr="00EF62ED">
        <w:trPr>
          <w:trHeight w:val="233"/>
        </w:trPr>
        <w:tc>
          <w:tcPr>
            <w:tcW w:w="1134" w:type="dxa"/>
            <w:vMerge/>
            <w:tcBorders>
              <w:right w:val="single" w:sz="6" w:space="0" w:color="1F546B" w:themeColor="text2"/>
            </w:tcBorders>
            <w:vAlign w:val="center"/>
          </w:tcPr>
          <w:p w14:paraId="5870E4D8" w14:textId="77777777" w:rsidR="00DE366C" w:rsidRPr="0001097B" w:rsidRDefault="00DE366C" w:rsidP="00DE366C">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E081C30" w14:textId="77777777" w:rsidR="00DE366C" w:rsidRPr="0001097B" w:rsidRDefault="00DE366C" w:rsidP="00DE366C">
            <w:pPr>
              <w:rPr>
                <w:rFonts w:asciiTheme="minorHAnsi" w:hAnsiTheme="minorHAnsi" w:cstheme="minorHAnsi"/>
                <w:szCs w:val="22"/>
              </w:rPr>
            </w:pPr>
            <w:r w:rsidRPr="0001097B">
              <w:rPr>
                <w:rFonts w:cs="Arial"/>
                <w:szCs w:val="22"/>
              </w:rPr>
              <w:t>Client interest groups, academics and professional historians and specific interest groups related to specialist area</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82E68F5"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77D3ADF"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A485BDF" w14:textId="77777777" w:rsidR="00DE366C" w:rsidRPr="00DE366C" w:rsidRDefault="00DE366C" w:rsidP="00DE366C">
            <w:pPr>
              <w:pStyle w:val="Tablenormalcondensed"/>
            </w:pPr>
            <w:r w:rsidRPr="00DE366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4F95234"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D366B6" w14:textId="77777777" w:rsidR="00DE366C" w:rsidRPr="00DE366C" w:rsidRDefault="00DE366C" w:rsidP="00DE366C">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8183B71" w14:textId="77777777" w:rsidR="00DE366C" w:rsidRPr="00DE366C" w:rsidRDefault="00DE366C" w:rsidP="00DE366C">
            <w:pPr>
              <w:pStyle w:val="Tablenormalcondensed"/>
            </w:pPr>
            <w:r w:rsidRPr="00DE366C">
              <w:sym w:font="Wingdings" w:char="F0FC"/>
            </w:r>
          </w:p>
        </w:tc>
      </w:tr>
      <w:tr w:rsidR="00DE366C" w:rsidRPr="001D30D4" w14:paraId="027356A6" w14:textId="77777777" w:rsidTr="00EF62ED">
        <w:trPr>
          <w:trHeight w:val="233"/>
        </w:trPr>
        <w:tc>
          <w:tcPr>
            <w:tcW w:w="1134" w:type="dxa"/>
            <w:vMerge/>
            <w:tcBorders>
              <w:right w:val="single" w:sz="6" w:space="0" w:color="1F546B" w:themeColor="text2"/>
            </w:tcBorders>
            <w:vAlign w:val="center"/>
          </w:tcPr>
          <w:p w14:paraId="770BF78E" w14:textId="77777777" w:rsidR="00DE366C" w:rsidRPr="0001097B" w:rsidRDefault="00DE366C" w:rsidP="00DE366C">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2124EDE3" w14:textId="77777777" w:rsidR="00DE366C" w:rsidRPr="0001097B" w:rsidRDefault="00DE366C" w:rsidP="00DE366C">
            <w:pPr>
              <w:rPr>
                <w:rFonts w:cs="Arial"/>
                <w:szCs w:val="22"/>
              </w:rPr>
            </w:pPr>
            <w:r w:rsidRPr="0001097B">
              <w:rPr>
                <w:rFonts w:cs="Arial"/>
                <w:szCs w:val="22"/>
              </w:rPr>
              <w:t>Professional bodies and stakeholders including:</w:t>
            </w:r>
          </w:p>
          <w:p w14:paraId="20C6D524" w14:textId="77777777" w:rsidR="00DE366C" w:rsidRPr="0001097B" w:rsidRDefault="00DE366C" w:rsidP="00DE366C">
            <w:pPr>
              <w:numPr>
                <w:ilvl w:val="0"/>
                <w:numId w:val="40"/>
              </w:numPr>
              <w:spacing w:before="0" w:after="0"/>
              <w:rPr>
                <w:rFonts w:cs="Arial"/>
                <w:szCs w:val="22"/>
              </w:rPr>
            </w:pPr>
            <w:r w:rsidRPr="0001097B">
              <w:rPr>
                <w:rFonts w:cs="Arial"/>
                <w:szCs w:val="22"/>
              </w:rPr>
              <w:t xml:space="preserve">Te </w:t>
            </w:r>
            <w:proofErr w:type="spellStart"/>
            <w:r w:rsidRPr="0001097B">
              <w:rPr>
                <w:rFonts w:cs="Arial"/>
                <w:szCs w:val="22"/>
              </w:rPr>
              <w:t>Roopu</w:t>
            </w:r>
            <w:proofErr w:type="spellEnd"/>
            <w:r w:rsidRPr="0001097B">
              <w:rPr>
                <w:rFonts w:cs="Arial"/>
                <w:szCs w:val="22"/>
              </w:rPr>
              <w:t xml:space="preserve"> </w:t>
            </w:r>
            <w:proofErr w:type="spellStart"/>
            <w:r w:rsidRPr="0001097B">
              <w:rPr>
                <w:rFonts w:cs="Arial"/>
                <w:szCs w:val="22"/>
              </w:rPr>
              <w:t>Whakahau</w:t>
            </w:r>
            <w:proofErr w:type="spellEnd"/>
            <w:r w:rsidRPr="0001097B">
              <w:rPr>
                <w:rFonts w:cs="Arial"/>
                <w:szCs w:val="22"/>
              </w:rPr>
              <w:t xml:space="preserve">, </w:t>
            </w:r>
            <w:r w:rsidR="0008260E">
              <w:rPr>
                <w:rFonts w:cs="Arial"/>
                <w:szCs w:val="22"/>
              </w:rPr>
              <w:t xml:space="preserve">National Service Te </w:t>
            </w:r>
            <w:proofErr w:type="spellStart"/>
            <w:r w:rsidR="0008260E">
              <w:rPr>
                <w:rFonts w:cs="Arial"/>
                <w:szCs w:val="22"/>
              </w:rPr>
              <w:t>Paerangi</w:t>
            </w:r>
            <w:proofErr w:type="spellEnd"/>
            <w:r w:rsidR="0008260E">
              <w:rPr>
                <w:rFonts w:cs="Arial"/>
                <w:szCs w:val="22"/>
              </w:rPr>
              <w:t>, Nga Taonga Sound and Vision</w:t>
            </w:r>
          </w:p>
          <w:p w14:paraId="06EB77FC" w14:textId="77777777" w:rsidR="00DE366C" w:rsidRPr="0001097B" w:rsidRDefault="00DE366C" w:rsidP="00DE366C">
            <w:pPr>
              <w:numPr>
                <w:ilvl w:val="0"/>
                <w:numId w:val="40"/>
              </w:numPr>
              <w:spacing w:before="0" w:after="0"/>
              <w:rPr>
                <w:rFonts w:cs="Arial"/>
                <w:szCs w:val="22"/>
              </w:rPr>
            </w:pPr>
            <w:r w:rsidRPr="0001097B">
              <w:rPr>
                <w:rFonts w:cs="Arial"/>
                <w:szCs w:val="22"/>
              </w:rPr>
              <w:t>Pasifika Information Management Network; Pacific Manuscripts Bureau</w:t>
            </w:r>
          </w:p>
          <w:p w14:paraId="1266B0FA" w14:textId="77777777" w:rsidR="00DE366C" w:rsidRPr="0001097B" w:rsidRDefault="00DE366C" w:rsidP="00DE366C">
            <w:pPr>
              <w:numPr>
                <w:ilvl w:val="0"/>
                <w:numId w:val="40"/>
              </w:numPr>
              <w:spacing w:before="0" w:after="0"/>
              <w:rPr>
                <w:rFonts w:cs="Arial"/>
                <w:szCs w:val="22"/>
              </w:rPr>
            </w:pPr>
            <w:r w:rsidRPr="0001097B">
              <w:rPr>
                <w:rFonts w:cs="Arial"/>
                <w:szCs w:val="22"/>
              </w:rPr>
              <w:t>NZ Society of Genealogists and local branches</w:t>
            </w:r>
          </w:p>
          <w:p w14:paraId="08A023AA" w14:textId="77777777" w:rsidR="00DE366C" w:rsidRPr="0001097B" w:rsidRDefault="00DE366C" w:rsidP="00DE366C">
            <w:pPr>
              <w:numPr>
                <w:ilvl w:val="0"/>
                <w:numId w:val="40"/>
              </w:numPr>
              <w:spacing w:before="0" w:after="0"/>
              <w:rPr>
                <w:rFonts w:cs="Arial"/>
                <w:szCs w:val="22"/>
              </w:rPr>
            </w:pPr>
            <w:r w:rsidRPr="0001097B">
              <w:rPr>
                <w:rFonts w:cs="Arial"/>
                <w:szCs w:val="22"/>
              </w:rPr>
              <w:t xml:space="preserve">Friends of Dorothy Neal White Collection, Susan Price </w:t>
            </w:r>
            <w:proofErr w:type="gramStart"/>
            <w:r w:rsidRPr="0001097B">
              <w:rPr>
                <w:rFonts w:cs="Arial"/>
                <w:szCs w:val="22"/>
              </w:rPr>
              <w:t>Collection  trustees</w:t>
            </w:r>
            <w:proofErr w:type="gramEnd"/>
          </w:p>
          <w:p w14:paraId="0284F71F" w14:textId="77777777" w:rsidR="00DE366C" w:rsidRPr="0001097B" w:rsidRDefault="00DE366C" w:rsidP="00DE366C">
            <w:pPr>
              <w:numPr>
                <w:ilvl w:val="0"/>
                <w:numId w:val="40"/>
              </w:numPr>
              <w:spacing w:before="0" w:after="0"/>
              <w:rPr>
                <w:rFonts w:cs="Arial"/>
                <w:szCs w:val="22"/>
              </w:rPr>
            </w:pPr>
            <w:r w:rsidRPr="0001097B">
              <w:rPr>
                <w:rFonts w:cs="Arial"/>
                <w:szCs w:val="22"/>
              </w:rPr>
              <w:t xml:space="preserve">Publishers and broadcasters utilising pictorial collections, Ministry </w:t>
            </w:r>
            <w:r w:rsidR="0001097B" w:rsidRPr="0001097B">
              <w:rPr>
                <w:rFonts w:cs="Arial"/>
                <w:szCs w:val="22"/>
              </w:rPr>
              <w:t>for</w:t>
            </w:r>
            <w:r w:rsidRPr="0001097B">
              <w:rPr>
                <w:rFonts w:cs="Arial"/>
                <w:szCs w:val="22"/>
              </w:rPr>
              <w:t xml:space="preserve"> Culture &amp; Heritage</w:t>
            </w:r>
          </w:p>
          <w:p w14:paraId="420902E1" w14:textId="77777777" w:rsidR="00DE366C" w:rsidRPr="0001097B" w:rsidRDefault="00DE366C" w:rsidP="00DE366C">
            <w:pPr>
              <w:numPr>
                <w:ilvl w:val="0"/>
                <w:numId w:val="40"/>
              </w:numPr>
              <w:spacing w:before="0" w:after="0"/>
              <w:rPr>
                <w:rFonts w:cs="Arial"/>
                <w:szCs w:val="22"/>
              </w:rPr>
            </w:pPr>
            <w:r w:rsidRPr="0001097B">
              <w:rPr>
                <w:rFonts w:cs="Arial"/>
                <w:szCs w:val="22"/>
              </w:rPr>
              <w:t xml:space="preserve">NOHANZ, Ministry </w:t>
            </w:r>
            <w:r w:rsidR="0001097B" w:rsidRPr="0001097B">
              <w:rPr>
                <w:rFonts w:cs="Arial"/>
                <w:szCs w:val="22"/>
              </w:rPr>
              <w:t>for</w:t>
            </w:r>
            <w:r w:rsidRPr="0001097B">
              <w:rPr>
                <w:rFonts w:cs="Arial"/>
                <w:szCs w:val="22"/>
              </w:rPr>
              <w:t xml:space="preserve"> Culture &amp; Heritage</w:t>
            </w:r>
          </w:p>
          <w:p w14:paraId="6EC0486E" w14:textId="77777777" w:rsidR="00DE366C" w:rsidRPr="0001097B" w:rsidRDefault="00DE366C" w:rsidP="00DE366C">
            <w:pPr>
              <w:numPr>
                <w:ilvl w:val="0"/>
                <w:numId w:val="40"/>
              </w:numPr>
              <w:spacing w:before="0" w:after="0"/>
              <w:rPr>
                <w:rFonts w:cs="Arial"/>
                <w:szCs w:val="22"/>
              </w:rPr>
            </w:pPr>
            <w:r w:rsidRPr="0001097B">
              <w:rPr>
                <w:rFonts w:cs="Arial"/>
                <w:szCs w:val="22"/>
              </w:rPr>
              <w:t>ARANZ</w:t>
            </w:r>
          </w:p>
          <w:p w14:paraId="61A79ADF" w14:textId="77777777" w:rsidR="00DE366C" w:rsidRPr="0001097B" w:rsidRDefault="00DE366C" w:rsidP="00DE366C">
            <w:pPr>
              <w:numPr>
                <w:ilvl w:val="0"/>
                <w:numId w:val="40"/>
              </w:numPr>
              <w:spacing w:before="0" w:after="0"/>
              <w:rPr>
                <w:rFonts w:cs="Arial"/>
                <w:szCs w:val="22"/>
              </w:rPr>
            </w:pPr>
            <w:r w:rsidRPr="0001097B">
              <w:rPr>
                <w:rFonts w:cs="Arial"/>
                <w:szCs w:val="22"/>
              </w:rPr>
              <w:t>IAML</w:t>
            </w:r>
          </w:p>
          <w:p w14:paraId="75ED410A" w14:textId="77777777" w:rsidR="00DE366C" w:rsidRPr="0001097B" w:rsidRDefault="00D304C1" w:rsidP="00DE366C">
            <w:pPr>
              <w:numPr>
                <w:ilvl w:val="0"/>
                <w:numId w:val="40"/>
              </w:numPr>
              <w:spacing w:before="0" w:after="0"/>
              <w:rPr>
                <w:rFonts w:cs="Arial"/>
                <w:szCs w:val="22"/>
              </w:rPr>
            </w:pPr>
            <w:r w:rsidRPr="0001097B">
              <w:rPr>
                <w:rFonts w:cs="Arial"/>
                <w:szCs w:val="22"/>
              </w:rPr>
              <w:t>Cartoon</w:t>
            </w:r>
            <w:r w:rsidR="00260C2E" w:rsidRPr="0001097B">
              <w:rPr>
                <w:rFonts w:cs="Arial"/>
                <w:szCs w:val="22"/>
              </w:rPr>
              <w:t>s and Comics</w:t>
            </w:r>
            <w:r w:rsidRPr="0001097B">
              <w:rPr>
                <w:rFonts w:cs="Arial"/>
                <w:szCs w:val="22"/>
              </w:rPr>
              <w:t xml:space="preserve"> Archive Advisory Body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E50948"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2A1D151"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4E7F92D" w14:textId="77777777" w:rsidR="00DE366C" w:rsidRPr="00DE366C" w:rsidRDefault="00DE366C" w:rsidP="00DE366C">
            <w:pPr>
              <w:pStyle w:val="Tablenormalcondensed"/>
            </w:pPr>
            <w:r w:rsidRPr="00DE366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4F0AA3" w14:textId="77777777" w:rsidR="00DE366C" w:rsidRPr="00DE366C" w:rsidRDefault="00DE366C" w:rsidP="00DE366C">
            <w:pPr>
              <w:pStyle w:val="Tablenormalcondensed"/>
            </w:pPr>
            <w:r w:rsidRPr="00DE366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D580081" w14:textId="77777777" w:rsidR="00DE366C" w:rsidRPr="00DE366C" w:rsidRDefault="00DE366C" w:rsidP="00DE366C">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4184748" w14:textId="77777777" w:rsidR="00DE366C" w:rsidRPr="00DE366C" w:rsidRDefault="00DE366C" w:rsidP="00DE366C">
            <w:pPr>
              <w:pStyle w:val="Tablenormalcondensed"/>
            </w:pPr>
            <w:r w:rsidRPr="00DE366C">
              <w:sym w:font="Wingdings" w:char="F0FC"/>
            </w:r>
          </w:p>
        </w:tc>
      </w:tr>
      <w:tr w:rsidR="00DE366C" w:rsidRPr="001D30D4" w14:paraId="37B631FD" w14:textId="77777777" w:rsidTr="00EF62ED">
        <w:trPr>
          <w:trHeight w:val="233"/>
        </w:trPr>
        <w:tc>
          <w:tcPr>
            <w:tcW w:w="1134" w:type="dxa"/>
            <w:vMerge/>
            <w:tcBorders>
              <w:bottom w:val="single" w:sz="6" w:space="0" w:color="1F546B" w:themeColor="text2"/>
              <w:right w:val="single" w:sz="6" w:space="0" w:color="1F546B" w:themeColor="text2"/>
            </w:tcBorders>
            <w:vAlign w:val="center"/>
          </w:tcPr>
          <w:p w14:paraId="1DCFC858" w14:textId="77777777" w:rsidR="00DE366C" w:rsidRPr="001D30D4" w:rsidRDefault="00DE366C" w:rsidP="00DE366C">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474587A0" w14:textId="77777777" w:rsidR="00DE366C" w:rsidRPr="00B54C50" w:rsidRDefault="00DE366C" w:rsidP="00DE366C">
            <w:pPr>
              <w:rPr>
                <w:rFonts w:asciiTheme="minorHAnsi" w:hAnsiTheme="minorHAnsi" w:cstheme="minorHAnsi"/>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170E3AF" w14:textId="77777777" w:rsidR="00DE366C" w:rsidRPr="003D175D" w:rsidRDefault="00DE366C" w:rsidP="00DE366C">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DB9341" w14:textId="77777777" w:rsidR="00DE366C" w:rsidRPr="003D175D" w:rsidRDefault="00DE366C" w:rsidP="00DE366C">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CAD06EB" w14:textId="77777777" w:rsidR="00DE366C" w:rsidRPr="003D175D" w:rsidRDefault="00DE366C" w:rsidP="00DE366C">
            <w:pPr>
              <w:pStyle w:val="Tablenormalcondensed"/>
              <w:rPr>
                <w:highlight w:val="yellow"/>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4EF4B33" w14:textId="77777777" w:rsidR="00DE366C" w:rsidRPr="003D175D" w:rsidRDefault="00DE366C" w:rsidP="00DE366C">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B24B7AC" w14:textId="77777777" w:rsidR="00DE366C" w:rsidRPr="003D175D" w:rsidRDefault="00DE366C" w:rsidP="00DE366C">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AA71AA6" w14:textId="77777777" w:rsidR="00DE366C" w:rsidRPr="003D175D" w:rsidRDefault="00DE366C" w:rsidP="00DE366C">
            <w:pPr>
              <w:pStyle w:val="Tablenormalcondensed"/>
              <w:rPr>
                <w:highlight w:val="yellow"/>
              </w:rPr>
            </w:pPr>
          </w:p>
        </w:tc>
      </w:tr>
    </w:tbl>
    <w:p w14:paraId="63A88F06" w14:textId="77777777" w:rsidR="008023C3" w:rsidRDefault="008023C3" w:rsidP="00ED37A7">
      <w:pPr>
        <w:pStyle w:val="Tinyline"/>
      </w:pPr>
    </w:p>
    <w:p w14:paraId="5483CA65"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53"/>
        <w:gridCol w:w="4762"/>
      </w:tblGrid>
      <w:tr w:rsidR="00ED37A7" w:rsidRPr="008023C3" w14:paraId="7BF2DAAF" w14:textId="77777777" w:rsidTr="008966DE">
        <w:trPr>
          <w:tblHeader/>
        </w:trPr>
        <w:tc>
          <w:tcPr>
            <w:tcW w:w="9515"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5EF87023" w14:textId="77777777" w:rsidR="00ED37A7" w:rsidRPr="008023C3" w:rsidRDefault="00ED37A7" w:rsidP="00ED37A7">
            <w:pPr>
              <w:pStyle w:val="Tableheading"/>
            </w:pPr>
            <w:r>
              <w:t xml:space="preserve">Your delegations </w:t>
            </w:r>
          </w:p>
        </w:tc>
      </w:tr>
      <w:tr w:rsidR="00ED37A7" w:rsidRPr="008023C3" w14:paraId="01C7E772" w14:textId="77777777" w:rsidTr="008966DE">
        <w:tc>
          <w:tcPr>
            <w:tcW w:w="4753" w:type="dxa"/>
            <w:tcBorders>
              <w:top w:val="nil"/>
              <w:left w:val="nil"/>
              <w:bottom w:val="single" w:sz="6" w:space="0" w:color="1F546B" w:themeColor="text2"/>
              <w:right w:val="single" w:sz="6" w:space="0" w:color="1F546B" w:themeColor="text2"/>
            </w:tcBorders>
          </w:tcPr>
          <w:p w14:paraId="2EBC61F6" w14:textId="77777777" w:rsidR="00ED37A7" w:rsidRPr="00356EDF" w:rsidRDefault="00ED37A7" w:rsidP="00880632">
            <w:pPr>
              <w:pStyle w:val="Tablenormal0"/>
            </w:pPr>
            <w:r>
              <w:t>Human Resources and financial delegations</w:t>
            </w:r>
          </w:p>
        </w:tc>
        <w:tc>
          <w:tcPr>
            <w:tcW w:w="4762" w:type="dxa"/>
            <w:tcBorders>
              <w:top w:val="nil"/>
              <w:left w:val="single" w:sz="6" w:space="0" w:color="1F546B" w:themeColor="text2"/>
              <w:bottom w:val="single" w:sz="6" w:space="0" w:color="1F546B" w:themeColor="text2"/>
              <w:right w:val="nil"/>
            </w:tcBorders>
          </w:tcPr>
          <w:p w14:paraId="0C06F3E9" w14:textId="77777777" w:rsidR="00ED37A7" w:rsidRPr="001D30D4" w:rsidRDefault="008966DE" w:rsidP="00ED37A7">
            <w:pPr>
              <w:pStyle w:val="Tablenormal0"/>
            </w:pPr>
            <w:r>
              <w:t>Z</w:t>
            </w:r>
          </w:p>
        </w:tc>
      </w:tr>
      <w:tr w:rsidR="00ED37A7" w:rsidRPr="008023C3" w14:paraId="3CDFBA92" w14:textId="77777777" w:rsidTr="008966DE">
        <w:tc>
          <w:tcPr>
            <w:tcW w:w="4753" w:type="dxa"/>
            <w:tcBorders>
              <w:top w:val="single" w:sz="6" w:space="0" w:color="1F546B" w:themeColor="text2"/>
              <w:left w:val="nil"/>
              <w:bottom w:val="single" w:sz="6" w:space="0" w:color="1F546B" w:themeColor="text2"/>
              <w:right w:val="single" w:sz="6" w:space="0" w:color="1F546B" w:themeColor="text2"/>
            </w:tcBorders>
          </w:tcPr>
          <w:p w14:paraId="6D06C3EC" w14:textId="77777777" w:rsidR="00ED37A7" w:rsidRDefault="00ED37A7" w:rsidP="00880632">
            <w:pPr>
              <w:pStyle w:val="Tablenormal0"/>
            </w:pPr>
            <w:r>
              <w:t>Direct reports</w:t>
            </w:r>
          </w:p>
        </w:tc>
        <w:tc>
          <w:tcPr>
            <w:tcW w:w="4762" w:type="dxa"/>
            <w:tcBorders>
              <w:top w:val="single" w:sz="6" w:space="0" w:color="1F546B" w:themeColor="text2"/>
              <w:left w:val="single" w:sz="6" w:space="0" w:color="1F546B" w:themeColor="text2"/>
              <w:bottom w:val="single" w:sz="6" w:space="0" w:color="1F546B" w:themeColor="text2"/>
              <w:right w:val="nil"/>
            </w:tcBorders>
          </w:tcPr>
          <w:p w14:paraId="379727D4" w14:textId="77777777" w:rsidR="00ED37A7" w:rsidRPr="001D30D4" w:rsidRDefault="00B54C50" w:rsidP="00880632">
            <w:pPr>
              <w:pStyle w:val="Tablenormal0"/>
            </w:pPr>
            <w:r>
              <w:t>1 or nil</w:t>
            </w:r>
          </w:p>
        </w:tc>
      </w:tr>
    </w:tbl>
    <w:p w14:paraId="6E05429C" w14:textId="77777777" w:rsidR="00ED37A7" w:rsidRDefault="00ED37A7" w:rsidP="00ED37A7">
      <w:pPr>
        <w:pStyle w:val="Tinyline"/>
      </w:pPr>
    </w:p>
    <w:p w14:paraId="5AD95720"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1"/>
        <w:gridCol w:w="4764"/>
      </w:tblGrid>
      <w:tr w:rsidR="008023C3" w:rsidRPr="008023C3" w14:paraId="1B69C1BB"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5EF05B96"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45F67816" w14:textId="77777777" w:rsidR="008023C3" w:rsidRPr="008023C3" w:rsidRDefault="008023C3" w:rsidP="00B90EE6">
            <w:pPr>
              <w:pStyle w:val="Tableheading"/>
            </w:pPr>
            <w:r w:rsidRPr="008023C3">
              <w:t>What you will bring specifically</w:t>
            </w:r>
          </w:p>
        </w:tc>
      </w:tr>
      <w:tr w:rsidR="008023C3" w:rsidRPr="008023C3" w14:paraId="7BAAEF82" w14:textId="77777777" w:rsidTr="001D30D4">
        <w:tc>
          <w:tcPr>
            <w:tcW w:w="4873" w:type="dxa"/>
            <w:tcBorders>
              <w:top w:val="nil"/>
              <w:left w:val="nil"/>
              <w:bottom w:val="single" w:sz="6" w:space="0" w:color="1F546B" w:themeColor="text2"/>
              <w:right w:val="single" w:sz="6" w:space="0" w:color="1F546B" w:themeColor="text2"/>
            </w:tcBorders>
          </w:tcPr>
          <w:p w14:paraId="4339DF53"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00820EC3" w:rsidRPr="00E51061">
                <w:rPr>
                  <w:rStyle w:val="Hyperlink"/>
                </w:rPr>
                <w:t>Specialist</w:t>
              </w:r>
            </w:hyperlink>
            <w:r w:rsidR="001D30D4">
              <w:t>.</w:t>
            </w:r>
            <w:r w:rsidRPr="008023C3">
              <w:br/>
            </w:r>
            <w:r w:rsidRPr="008023C3">
              <w:br/>
            </w:r>
            <w:r w:rsidRPr="009E40D1">
              <w:rPr>
                <w:b/>
                <w:bCs/>
              </w:rPr>
              <w:t>Keys to Success:</w:t>
            </w:r>
          </w:p>
          <w:p w14:paraId="1E395C6E" w14:textId="77777777" w:rsidR="00820EC3" w:rsidRDefault="00820EC3" w:rsidP="00820EC3">
            <w:pPr>
              <w:pStyle w:val="Tablebullet"/>
            </w:pPr>
            <w:r>
              <w:t>Problem solving</w:t>
            </w:r>
          </w:p>
          <w:p w14:paraId="199BA34F" w14:textId="77777777" w:rsidR="00820EC3" w:rsidRDefault="00820EC3" w:rsidP="00820EC3">
            <w:pPr>
              <w:pStyle w:val="Tablebullet"/>
            </w:pPr>
            <w:r>
              <w:t>Critical thinking</w:t>
            </w:r>
          </w:p>
          <w:p w14:paraId="02D4BBC9" w14:textId="77777777" w:rsidR="00820EC3" w:rsidRDefault="00820EC3" w:rsidP="00820EC3">
            <w:pPr>
              <w:pStyle w:val="Tablebullet"/>
            </w:pPr>
            <w:r>
              <w:t>Interpersonal savvy</w:t>
            </w:r>
          </w:p>
          <w:p w14:paraId="3634B655" w14:textId="77777777" w:rsidR="00820EC3" w:rsidRDefault="00820EC3" w:rsidP="00820EC3">
            <w:pPr>
              <w:pStyle w:val="Tablebullet"/>
            </w:pPr>
            <w:r>
              <w:t>Navigating complexity</w:t>
            </w:r>
          </w:p>
          <w:p w14:paraId="1F43AA15" w14:textId="77777777" w:rsidR="00820EC3" w:rsidRDefault="00820EC3" w:rsidP="00820EC3">
            <w:pPr>
              <w:pStyle w:val="Tablebullet"/>
            </w:pPr>
            <w:r>
              <w:t>Communicating with influence</w:t>
            </w:r>
          </w:p>
          <w:p w14:paraId="01E0B1E3" w14:textId="77777777" w:rsidR="008023C3" w:rsidRPr="008023C3" w:rsidRDefault="00820EC3"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14:paraId="2415052B" w14:textId="77777777" w:rsidR="008023C3" w:rsidRPr="001D30D4" w:rsidRDefault="008023C3" w:rsidP="001D30D4">
            <w:pPr>
              <w:pStyle w:val="Tablenormal0"/>
              <w:rPr>
                <w:b/>
                <w:bCs/>
              </w:rPr>
            </w:pPr>
            <w:r w:rsidRPr="001D30D4">
              <w:rPr>
                <w:b/>
                <w:bCs/>
              </w:rPr>
              <w:t xml:space="preserve">Experience: </w:t>
            </w:r>
          </w:p>
          <w:p w14:paraId="557402D6" w14:textId="77777777" w:rsidR="007067E1" w:rsidRPr="007067E1" w:rsidRDefault="007067E1" w:rsidP="007067E1">
            <w:pPr>
              <w:pStyle w:val="Subtitle"/>
              <w:jc w:val="left"/>
              <w:rPr>
                <w:b w:val="0"/>
                <w:bCs/>
                <w:color w:val="auto"/>
                <w:sz w:val="24"/>
                <w:szCs w:val="24"/>
              </w:rPr>
            </w:pPr>
            <w:r w:rsidRPr="007067E1">
              <w:rPr>
                <w:b w:val="0"/>
                <w:bCs/>
                <w:color w:val="auto"/>
                <w:sz w:val="24"/>
                <w:szCs w:val="24"/>
              </w:rPr>
              <w:t>Minimum experience required is at least four years working in the relevant specialist field:</w:t>
            </w:r>
          </w:p>
          <w:p w14:paraId="5E9DAFC5" w14:textId="77777777" w:rsidR="007067E1" w:rsidRDefault="007067E1" w:rsidP="00841F73">
            <w:pPr>
              <w:pStyle w:val="Tablebullet"/>
            </w:pPr>
            <w:r w:rsidRPr="00516BE8">
              <w:t>Maori</w:t>
            </w:r>
          </w:p>
          <w:p w14:paraId="626D0536" w14:textId="77777777" w:rsidR="007067E1" w:rsidRPr="00516BE8" w:rsidRDefault="007067E1" w:rsidP="00841F73">
            <w:pPr>
              <w:pStyle w:val="Tablebullet"/>
            </w:pPr>
            <w:r>
              <w:t>Pacific</w:t>
            </w:r>
          </w:p>
          <w:p w14:paraId="0B6DD0FF" w14:textId="77777777" w:rsidR="007067E1" w:rsidRPr="00516BE8" w:rsidRDefault="007067E1" w:rsidP="00841F73">
            <w:pPr>
              <w:pStyle w:val="Tablebullet"/>
            </w:pPr>
            <w:r w:rsidRPr="00516BE8">
              <w:t>Family History</w:t>
            </w:r>
          </w:p>
          <w:p w14:paraId="0EF77B17" w14:textId="77777777" w:rsidR="007067E1" w:rsidRPr="00516BE8" w:rsidRDefault="007067E1" w:rsidP="00841F73">
            <w:pPr>
              <w:pStyle w:val="Tablebullet"/>
            </w:pPr>
            <w:r w:rsidRPr="00516BE8">
              <w:t xml:space="preserve">Children’s Literature </w:t>
            </w:r>
          </w:p>
          <w:p w14:paraId="4739DA87" w14:textId="77777777" w:rsidR="007067E1" w:rsidRPr="00516BE8" w:rsidRDefault="007067E1" w:rsidP="00841F73">
            <w:pPr>
              <w:pStyle w:val="Tablebullet"/>
            </w:pPr>
            <w:r w:rsidRPr="00516BE8">
              <w:t>Pictorial</w:t>
            </w:r>
          </w:p>
          <w:p w14:paraId="1181373A" w14:textId="77777777" w:rsidR="007067E1" w:rsidRPr="00516BE8" w:rsidRDefault="007067E1" w:rsidP="00841F73">
            <w:pPr>
              <w:pStyle w:val="Tablebullet"/>
            </w:pPr>
            <w:r w:rsidRPr="00516BE8">
              <w:t>Oral history</w:t>
            </w:r>
          </w:p>
          <w:p w14:paraId="253058CE" w14:textId="77777777" w:rsidR="007067E1" w:rsidRPr="00516BE8" w:rsidRDefault="007067E1" w:rsidP="00841F73">
            <w:pPr>
              <w:pStyle w:val="Tablebullet"/>
            </w:pPr>
            <w:r w:rsidRPr="00516BE8">
              <w:t>Manuscripts</w:t>
            </w:r>
          </w:p>
          <w:p w14:paraId="4ACB9B2C" w14:textId="77777777" w:rsidR="007067E1" w:rsidRDefault="007067E1" w:rsidP="00841F73">
            <w:pPr>
              <w:pStyle w:val="Tablebullet"/>
            </w:pPr>
            <w:r w:rsidRPr="00516BE8">
              <w:t>Music</w:t>
            </w:r>
          </w:p>
          <w:p w14:paraId="000CB3A4" w14:textId="77777777" w:rsidR="007067E1" w:rsidRPr="00516BE8" w:rsidRDefault="007067E1" w:rsidP="00841F73">
            <w:pPr>
              <w:pStyle w:val="Tablebullet"/>
            </w:pPr>
            <w:r>
              <w:t>Cartoons</w:t>
            </w:r>
          </w:p>
          <w:p w14:paraId="02544717" w14:textId="77777777" w:rsidR="007067E1" w:rsidRPr="007067E1" w:rsidRDefault="007067E1" w:rsidP="007067E1">
            <w:pPr>
              <w:pStyle w:val="Subtitle"/>
              <w:jc w:val="left"/>
              <w:rPr>
                <w:b w:val="0"/>
                <w:bCs/>
                <w:color w:val="auto"/>
                <w:sz w:val="24"/>
                <w:szCs w:val="24"/>
              </w:rPr>
            </w:pPr>
            <w:r w:rsidRPr="007067E1">
              <w:rPr>
                <w:b w:val="0"/>
                <w:bCs/>
                <w:color w:val="auto"/>
                <w:sz w:val="24"/>
                <w:szCs w:val="24"/>
              </w:rPr>
              <w:t xml:space="preserve">Three years’ experience (may be concurrent with above) in </w:t>
            </w:r>
            <w:r w:rsidRPr="007067E1">
              <w:rPr>
                <w:b w:val="0"/>
                <w:bCs/>
                <w:color w:val="auto"/>
                <w:sz w:val="24"/>
                <w:szCs w:val="24"/>
                <w:u w:val="single"/>
              </w:rPr>
              <w:t>two</w:t>
            </w:r>
            <w:r w:rsidRPr="007067E1">
              <w:rPr>
                <w:b w:val="0"/>
                <w:bCs/>
                <w:color w:val="auto"/>
                <w:sz w:val="24"/>
                <w:szCs w:val="24"/>
              </w:rPr>
              <w:t xml:space="preserve"> of the following:</w:t>
            </w:r>
          </w:p>
          <w:p w14:paraId="7637ECC9" w14:textId="77777777" w:rsidR="007067E1" w:rsidRPr="007067E1" w:rsidRDefault="007067E1" w:rsidP="00841F73">
            <w:pPr>
              <w:pStyle w:val="Tablebullet"/>
            </w:pPr>
            <w:r w:rsidRPr="007067E1">
              <w:t>An archive, library, or museum</w:t>
            </w:r>
          </w:p>
          <w:p w14:paraId="5A83C1B0" w14:textId="77777777" w:rsidR="007067E1" w:rsidRPr="007067E1" w:rsidRDefault="007067E1" w:rsidP="00841F73">
            <w:pPr>
              <w:pStyle w:val="Tablebullet"/>
            </w:pPr>
            <w:r w:rsidRPr="007067E1">
              <w:t>Dealing with a range of public enquiries and customer relationships</w:t>
            </w:r>
          </w:p>
          <w:p w14:paraId="0BAA6F82" w14:textId="77777777" w:rsidR="007067E1" w:rsidRPr="007067E1" w:rsidRDefault="007067E1" w:rsidP="00841F73">
            <w:pPr>
              <w:pStyle w:val="Tablebullet"/>
            </w:pPr>
            <w:r w:rsidRPr="007067E1">
              <w:t xml:space="preserve">Arrangement and description of archival collections </w:t>
            </w:r>
          </w:p>
          <w:p w14:paraId="2484774A" w14:textId="77777777" w:rsidR="007067E1" w:rsidRPr="007067E1" w:rsidRDefault="007067E1" w:rsidP="00841F73">
            <w:pPr>
              <w:pStyle w:val="Tablebullet"/>
            </w:pPr>
            <w:r w:rsidRPr="007067E1">
              <w:t>Provision of research services from archival collections</w:t>
            </w:r>
          </w:p>
          <w:p w14:paraId="08E11A0B" w14:textId="77777777" w:rsidR="007067E1" w:rsidRPr="007067E1" w:rsidRDefault="007067E1" w:rsidP="00841F73">
            <w:pPr>
              <w:pStyle w:val="Tablebullet"/>
            </w:pPr>
            <w:r w:rsidRPr="007067E1">
              <w:t>Record management systems, electronic and paper</w:t>
            </w:r>
          </w:p>
          <w:p w14:paraId="3EB0C866" w14:textId="77777777" w:rsidR="007067E1" w:rsidRPr="007067E1" w:rsidRDefault="007067E1" w:rsidP="007067E1">
            <w:pPr>
              <w:spacing w:before="0" w:after="0"/>
              <w:ind w:left="720"/>
              <w:rPr>
                <w:rFonts w:cs="Arial"/>
              </w:rPr>
            </w:pPr>
          </w:p>
          <w:p w14:paraId="1F04D7EF" w14:textId="77777777" w:rsidR="007067E1" w:rsidRPr="007067E1" w:rsidRDefault="007067E1" w:rsidP="007067E1">
            <w:pPr>
              <w:pStyle w:val="Subtitle"/>
              <w:jc w:val="left"/>
              <w:rPr>
                <w:b w:val="0"/>
                <w:bCs/>
                <w:color w:val="auto"/>
                <w:sz w:val="24"/>
                <w:szCs w:val="24"/>
              </w:rPr>
            </w:pPr>
            <w:r w:rsidRPr="007067E1">
              <w:rPr>
                <w:b w:val="0"/>
                <w:bCs/>
                <w:color w:val="auto"/>
                <w:sz w:val="24"/>
                <w:szCs w:val="24"/>
              </w:rPr>
              <w:t>Experience in customer advocacy and service evaluation is also highly desirable.</w:t>
            </w:r>
          </w:p>
          <w:p w14:paraId="17DCAE5D" w14:textId="77777777" w:rsidR="008023C3" w:rsidRPr="001D30D4" w:rsidRDefault="008023C3" w:rsidP="007067E1">
            <w:pPr>
              <w:pStyle w:val="Tablebullet"/>
              <w:numPr>
                <w:ilvl w:val="0"/>
                <w:numId w:val="0"/>
              </w:numPr>
              <w:ind w:left="357" w:hanging="357"/>
            </w:pPr>
          </w:p>
          <w:p w14:paraId="0819E4A7" w14:textId="77777777" w:rsidR="008023C3" w:rsidRPr="001D30D4" w:rsidRDefault="008023C3" w:rsidP="001D30D4">
            <w:pPr>
              <w:pStyle w:val="Tablenormal0"/>
              <w:rPr>
                <w:b/>
                <w:bCs/>
              </w:rPr>
            </w:pPr>
            <w:r w:rsidRPr="001D30D4">
              <w:rPr>
                <w:b/>
                <w:bCs/>
              </w:rPr>
              <w:t>Knowledge:</w:t>
            </w:r>
          </w:p>
          <w:p w14:paraId="64659D5A" w14:textId="77777777" w:rsidR="007067E1" w:rsidRPr="00D7439C" w:rsidRDefault="007067E1" w:rsidP="00841F73">
            <w:pPr>
              <w:pStyle w:val="Tablebullet"/>
            </w:pPr>
            <w:smartTag w:uri="urn:schemas-microsoft-com:office:smarttags" w:element="place">
              <w:smartTag w:uri="urn:schemas-microsoft-com:office:smarttags" w:element="country-region">
                <w:r w:rsidRPr="00D7439C">
                  <w:t>New Zealand</w:t>
                </w:r>
              </w:smartTag>
            </w:smartTag>
            <w:r w:rsidRPr="00D7439C">
              <w:t xml:space="preserve"> history </w:t>
            </w:r>
          </w:p>
          <w:p w14:paraId="295278DD" w14:textId="77777777" w:rsidR="007067E1" w:rsidRPr="00D7439C" w:rsidRDefault="007067E1" w:rsidP="00841F73">
            <w:pPr>
              <w:pStyle w:val="Tablebullet"/>
            </w:pPr>
            <w:r w:rsidRPr="00D7439C">
              <w:t>Research principles</w:t>
            </w:r>
          </w:p>
          <w:p w14:paraId="5BF370BA" w14:textId="77777777" w:rsidR="007067E1" w:rsidRPr="00D7439C" w:rsidRDefault="007067E1" w:rsidP="00841F73">
            <w:pPr>
              <w:pStyle w:val="Tablebullet"/>
            </w:pPr>
            <w:r w:rsidRPr="00D7439C">
              <w:t xml:space="preserve">Alexander Turnbull </w:t>
            </w:r>
            <w:proofErr w:type="gramStart"/>
            <w:r w:rsidRPr="00D7439C">
              <w:t>Library :</w:t>
            </w:r>
            <w:proofErr w:type="gramEnd"/>
            <w:r w:rsidRPr="00D7439C">
              <w:t xml:space="preserve"> an understanding of its role and collections</w:t>
            </w:r>
          </w:p>
          <w:p w14:paraId="2538837D" w14:textId="77777777" w:rsidR="007067E1" w:rsidRDefault="007067E1" w:rsidP="00841F73">
            <w:pPr>
              <w:pStyle w:val="Tablebullet"/>
            </w:pPr>
            <w:r w:rsidRPr="00FA78C8">
              <w:t>Archival/Heritage collections</w:t>
            </w:r>
          </w:p>
          <w:p w14:paraId="041905D1" w14:textId="77777777" w:rsidR="007067E1" w:rsidRPr="00FA78C8" w:rsidRDefault="007067E1" w:rsidP="00841F73">
            <w:pPr>
              <w:pStyle w:val="Tablebullet"/>
            </w:pPr>
            <w:r>
              <w:t>Digital and print media</w:t>
            </w:r>
          </w:p>
          <w:p w14:paraId="4F00C744" w14:textId="77777777" w:rsidR="008023C3" w:rsidRPr="001D30D4" w:rsidRDefault="008023C3" w:rsidP="007067E1">
            <w:pPr>
              <w:pStyle w:val="Tablebullet"/>
              <w:numPr>
                <w:ilvl w:val="0"/>
                <w:numId w:val="0"/>
              </w:numPr>
            </w:pPr>
          </w:p>
          <w:p w14:paraId="6BE95936" w14:textId="77777777" w:rsidR="008023C3" w:rsidRPr="001D30D4" w:rsidRDefault="008023C3" w:rsidP="001D30D4">
            <w:pPr>
              <w:pStyle w:val="Tablenormal0"/>
              <w:rPr>
                <w:b/>
                <w:bCs/>
              </w:rPr>
            </w:pPr>
            <w:r w:rsidRPr="001D30D4">
              <w:rPr>
                <w:b/>
                <w:bCs/>
              </w:rPr>
              <w:t>Skills:</w:t>
            </w:r>
          </w:p>
          <w:p w14:paraId="721060D4" w14:textId="77777777" w:rsidR="007067E1" w:rsidRPr="00D7439C" w:rsidRDefault="007067E1" w:rsidP="00841F73">
            <w:pPr>
              <w:pStyle w:val="Tablebullet"/>
            </w:pPr>
            <w:r w:rsidRPr="00D7439C">
              <w:t xml:space="preserve">Conducting reference interviews to determine information needs </w:t>
            </w:r>
          </w:p>
          <w:p w14:paraId="795F9ABA" w14:textId="77777777" w:rsidR="007067E1" w:rsidRPr="00D7439C" w:rsidRDefault="007067E1" w:rsidP="00841F73">
            <w:pPr>
              <w:pStyle w:val="Tablebullet"/>
            </w:pPr>
            <w:r w:rsidRPr="00D7439C">
              <w:t>Writing concise and complete responses to written research enquiries</w:t>
            </w:r>
          </w:p>
          <w:p w14:paraId="63BFB932" w14:textId="77777777" w:rsidR="007067E1" w:rsidRPr="00D7439C" w:rsidRDefault="007067E1" w:rsidP="00841F73">
            <w:pPr>
              <w:pStyle w:val="Tablebullet"/>
            </w:pPr>
            <w:r>
              <w:t>Using online systems</w:t>
            </w:r>
            <w:r w:rsidRPr="00D7439C">
              <w:t xml:space="preserve">, databases, internet technologies and other finding aids </w:t>
            </w:r>
          </w:p>
          <w:p w14:paraId="4D309518" w14:textId="77777777" w:rsidR="007067E1" w:rsidRPr="00D7439C" w:rsidRDefault="007067E1" w:rsidP="00841F73">
            <w:pPr>
              <w:pStyle w:val="Tablebullet"/>
            </w:pPr>
            <w:r w:rsidRPr="00D7439C">
              <w:t>Establishing and maintaining effective relationships with researchers</w:t>
            </w:r>
            <w:r>
              <w:t xml:space="preserve"> and donors</w:t>
            </w:r>
          </w:p>
          <w:p w14:paraId="5BD4A311" w14:textId="77777777" w:rsidR="007067E1" w:rsidRDefault="007067E1" w:rsidP="00841F73">
            <w:pPr>
              <w:pStyle w:val="Tablebullet"/>
            </w:pPr>
            <w:proofErr w:type="gramStart"/>
            <w:r w:rsidRPr="00D7439C">
              <w:t xml:space="preserve">Working  </w:t>
            </w:r>
            <w:r>
              <w:t>co</w:t>
            </w:r>
            <w:proofErr w:type="gramEnd"/>
            <w:r>
              <w:t xml:space="preserve">-operatively with colleagues </w:t>
            </w:r>
            <w:r w:rsidRPr="00D7439C">
              <w:t>across the Library</w:t>
            </w:r>
          </w:p>
          <w:p w14:paraId="0780ABDB" w14:textId="77777777" w:rsidR="007067E1" w:rsidRPr="00FA78C8" w:rsidRDefault="007067E1" w:rsidP="00841F73">
            <w:pPr>
              <w:pStyle w:val="Tablebullet"/>
            </w:pPr>
            <w:r>
              <w:t xml:space="preserve">Presenting about and promoting area of specialty </w:t>
            </w:r>
          </w:p>
          <w:p w14:paraId="6E4D9A84" w14:textId="77777777" w:rsidR="008023C3" w:rsidRPr="001D30D4" w:rsidRDefault="008023C3" w:rsidP="007067E1">
            <w:pPr>
              <w:pStyle w:val="Tablebullet"/>
              <w:numPr>
                <w:ilvl w:val="0"/>
                <w:numId w:val="0"/>
              </w:numPr>
            </w:pPr>
          </w:p>
          <w:p w14:paraId="322DAF5E" w14:textId="77777777" w:rsidR="008023C3" w:rsidRDefault="007067E1" w:rsidP="001D30D4">
            <w:pPr>
              <w:pStyle w:val="Tablenormal0"/>
              <w:rPr>
                <w:b/>
                <w:bCs/>
              </w:rPr>
            </w:pPr>
            <w:r>
              <w:rPr>
                <w:b/>
                <w:bCs/>
              </w:rPr>
              <w:t>Education:</w:t>
            </w:r>
          </w:p>
          <w:p w14:paraId="1DAD74E7" w14:textId="77777777" w:rsidR="007067E1" w:rsidRPr="00516BE8" w:rsidRDefault="007067E1" w:rsidP="00841F73">
            <w:pPr>
              <w:pStyle w:val="Tablebullet"/>
            </w:pPr>
            <w:r w:rsidRPr="00516BE8">
              <w:t>Tertiary degree, preferably with a component of</w:t>
            </w:r>
            <w:r>
              <w:t xml:space="preserve"> New Zealand studies</w:t>
            </w:r>
          </w:p>
          <w:p w14:paraId="226A8DE6" w14:textId="77777777" w:rsidR="007067E1" w:rsidRDefault="007067E1" w:rsidP="00841F73">
            <w:pPr>
              <w:pStyle w:val="Tablebullet"/>
            </w:pPr>
            <w:r w:rsidRPr="00516BE8">
              <w:t>Tertiary qualifications in other disciplines would be acceptable if coupled with strong experience</w:t>
            </w:r>
            <w:r w:rsidR="00841F73">
              <w:t xml:space="preserve"> or educational component</w:t>
            </w:r>
            <w:r w:rsidRPr="00516BE8">
              <w:t xml:space="preserve"> in the relevant field</w:t>
            </w:r>
            <w:r w:rsidR="00841F73">
              <w:t xml:space="preserve">, e.g. </w:t>
            </w:r>
          </w:p>
          <w:p w14:paraId="6CD26B12" w14:textId="77777777" w:rsidR="00841F73" w:rsidRDefault="00841F73" w:rsidP="00841F73">
            <w:pPr>
              <w:pStyle w:val="Tablebulletlevel2"/>
            </w:pPr>
            <w:r w:rsidRPr="00516BE8">
              <w:t>Maori – Maori studies or NZ history/politics</w:t>
            </w:r>
          </w:p>
          <w:p w14:paraId="5F628C6B" w14:textId="77777777" w:rsidR="00841F73" w:rsidRPr="00516BE8" w:rsidRDefault="00841F73" w:rsidP="00841F73">
            <w:pPr>
              <w:pStyle w:val="Tablebulletlevel2"/>
            </w:pPr>
            <w:r>
              <w:t xml:space="preserve">Pacific – Pacific </w:t>
            </w:r>
            <w:r w:rsidRPr="00516BE8">
              <w:t xml:space="preserve">studies or </w:t>
            </w:r>
            <w:r>
              <w:t>Pacific h</w:t>
            </w:r>
            <w:r w:rsidRPr="00516BE8">
              <w:t>istory/politics</w:t>
            </w:r>
          </w:p>
          <w:p w14:paraId="62B1E0E0" w14:textId="77777777" w:rsidR="00841F73" w:rsidRPr="00516BE8" w:rsidRDefault="00841F73" w:rsidP="00841F73">
            <w:pPr>
              <w:pStyle w:val="Tablebulletlevel2"/>
            </w:pPr>
            <w:r w:rsidRPr="00516BE8">
              <w:t>Family History – History, Geography or other Arts or Social Science</w:t>
            </w:r>
          </w:p>
          <w:p w14:paraId="5D0CE2D1" w14:textId="77777777" w:rsidR="00841F73" w:rsidRPr="00516BE8" w:rsidRDefault="00841F73" w:rsidP="00841F73">
            <w:pPr>
              <w:pStyle w:val="Tablebulletlevel2"/>
            </w:pPr>
            <w:r w:rsidRPr="00516BE8">
              <w:t>Children’s Literature – History, Literature or other Arts or Social Science</w:t>
            </w:r>
          </w:p>
          <w:p w14:paraId="526645EA" w14:textId="77777777" w:rsidR="00841F73" w:rsidRPr="00516BE8" w:rsidRDefault="00841F73" w:rsidP="00841F73">
            <w:pPr>
              <w:pStyle w:val="Tablebulletlevel2"/>
            </w:pPr>
            <w:r w:rsidRPr="00516BE8">
              <w:t>Pictorial - History, Geography or other Arts or Social Science</w:t>
            </w:r>
          </w:p>
          <w:p w14:paraId="3895019E" w14:textId="77777777" w:rsidR="00841F73" w:rsidRPr="00516BE8" w:rsidRDefault="00841F73" w:rsidP="00841F73">
            <w:pPr>
              <w:pStyle w:val="Tablebulletlevel2"/>
            </w:pPr>
            <w:r w:rsidRPr="00516BE8">
              <w:t>Oral history - History, Geography or other Arts or Social Science</w:t>
            </w:r>
          </w:p>
          <w:p w14:paraId="476BDB8C" w14:textId="77777777" w:rsidR="00841F73" w:rsidRPr="00516BE8" w:rsidRDefault="00841F73" w:rsidP="00841F73">
            <w:pPr>
              <w:pStyle w:val="Tablebulletlevel2"/>
            </w:pPr>
            <w:r w:rsidRPr="00516BE8">
              <w:t>Manuscripts - History, Literature or other Arts or Social Science</w:t>
            </w:r>
          </w:p>
          <w:p w14:paraId="0FD258D6" w14:textId="77777777" w:rsidR="00841F73" w:rsidRDefault="00841F73" w:rsidP="00841F73">
            <w:pPr>
              <w:pStyle w:val="Tablebulletlevel2"/>
            </w:pPr>
            <w:r w:rsidRPr="00516BE8">
              <w:t xml:space="preserve">Music </w:t>
            </w:r>
            <w:r>
              <w:t>–</w:t>
            </w:r>
            <w:r w:rsidRPr="00516BE8">
              <w:t xml:space="preserve"> Music</w:t>
            </w:r>
          </w:p>
          <w:p w14:paraId="13A6CE74" w14:textId="77777777" w:rsidR="00841F73" w:rsidRPr="00577AD6" w:rsidRDefault="00841F73" w:rsidP="00577AD6">
            <w:pPr>
              <w:pStyle w:val="Tablebulletlevel2"/>
              <w:rPr>
                <w:rFonts w:cs="Arial"/>
              </w:rPr>
            </w:pPr>
            <w:r>
              <w:rPr>
                <w:rFonts w:cs="Arial"/>
              </w:rPr>
              <w:t xml:space="preserve">Cartoons - </w:t>
            </w:r>
            <w:r>
              <w:t>Cartoons, New Zealand History, Political Studies, Journalism, Visual Culture or another relevant field</w:t>
            </w:r>
          </w:p>
          <w:p w14:paraId="014B0146" w14:textId="77777777" w:rsidR="007067E1" w:rsidRDefault="007067E1" w:rsidP="00841F73">
            <w:pPr>
              <w:pStyle w:val="Tablebullet"/>
            </w:pPr>
            <w:r w:rsidRPr="00516BE8">
              <w:t>Tertiary qualification in librarianship, archives work, or related field (e.g. museum studies)</w:t>
            </w:r>
          </w:p>
          <w:p w14:paraId="357C98B2" w14:textId="77777777" w:rsidR="007067E1" w:rsidRPr="0008260E" w:rsidRDefault="007067E1" w:rsidP="007067E1">
            <w:pPr>
              <w:pStyle w:val="Tablebullet"/>
              <w:numPr>
                <w:ilvl w:val="0"/>
                <w:numId w:val="0"/>
              </w:numPr>
              <w:rPr>
                <w:b/>
              </w:rPr>
            </w:pPr>
            <w:r w:rsidRPr="0008260E">
              <w:rPr>
                <w:b/>
              </w:rPr>
              <w:t>Desirable</w:t>
            </w:r>
            <w:r w:rsidR="00577AD6" w:rsidRPr="0008260E">
              <w:rPr>
                <w:b/>
              </w:rPr>
              <w:t xml:space="preserve"> attributes:</w:t>
            </w:r>
          </w:p>
          <w:p w14:paraId="07FABC56" w14:textId="77777777" w:rsidR="007067E1" w:rsidRPr="0008260E" w:rsidRDefault="007067E1" w:rsidP="00841F73">
            <w:pPr>
              <w:pStyle w:val="Tablebullet"/>
            </w:pPr>
            <w:r w:rsidRPr="0008260E">
              <w:t xml:space="preserve">Post-graduate study that included research-level work in </w:t>
            </w:r>
            <w:smartTag w:uri="urn:schemas-microsoft-com:office:smarttags" w:element="place">
              <w:smartTag w:uri="urn:schemas-microsoft-com:office:smarttags" w:element="country-region">
                <w:r w:rsidRPr="0008260E">
                  <w:t>New Zealand</w:t>
                </w:r>
              </w:smartTag>
            </w:smartTag>
            <w:r w:rsidRPr="0008260E">
              <w:t xml:space="preserve"> or Pacific studies</w:t>
            </w:r>
          </w:p>
          <w:p w14:paraId="3917DBC0" w14:textId="77777777" w:rsidR="007067E1" w:rsidRPr="0008260E" w:rsidRDefault="007067E1" w:rsidP="00841F73">
            <w:pPr>
              <w:pStyle w:val="Tablebullet"/>
            </w:pPr>
            <w:r w:rsidRPr="0008260E">
              <w:t xml:space="preserve">Knowledge of Te </w:t>
            </w:r>
            <w:proofErr w:type="spellStart"/>
            <w:r w:rsidRPr="0008260E">
              <w:t>Reo</w:t>
            </w:r>
            <w:proofErr w:type="spellEnd"/>
            <w:r w:rsidRPr="0008260E">
              <w:t xml:space="preserve"> Maori or a Pacific Language</w:t>
            </w:r>
          </w:p>
          <w:p w14:paraId="63562A8B" w14:textId="77777777" w:rsidR="00841F73" w:rsidRPr="00841F73" w:rsidRDefault="007067E1" w:rsidP="00577AD6">
            <w:pPr>
              <w:pStyle w:val="Tablebullet"/>
            </w:pPr>
            <w:r w:rsidRPr="0008260E">
              <w:t>Knowledge and</w:t>
            </w:r>
            <w:r w:rsidRPr="00516BE8">
              <w:t xml:space="preserve"> understanding of New Zealand and Pacific history and cultures</w:t>
            </w:r>
            <w:r>
              <w:rPr>
                <w:highlight w:val="yellow"/>
              </w:rPr>
              <w:t xml:space="preserve"> </w:t>
            </w:r>
          </w:p>
        </w:tc>
      </w:tr>
    </w:tbl>
    <w:p w14:paraId="67B34656"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EC08" w14:textId="77777777" w:rsidR="0059383A" w:rsidRDefault="0059383A">
      <w:r>
        <w:separator/>
      </w:r>
    </w:p>
    <w:p w14:paraId="6724C78B" w14:textId="77777777" w:rsidR="0059383A" w:rsidRDefault="0059383A"/>
    <w:p w14:paraId="09081B22" w14:textId="77777777" w:rsidR="0059383A" w:rsidRDefault="0059383A"/>
  </w:endnote>
  <w:endnote w:type="continuationSeparator" w:id="0">
    <w:p w14:paraId="4B625C16" w14:textId="77777777" w:rsidR="0059383A" w:rsidRDefault="0059383A">
      <w:r>
        <w:continuationSeparator/>
      </w:r>
    </w:p>
    <w:p w14:paraId="177395BB" w14:textId="77777777" w:rsidR="0059383A" w:rsidRDefault="0059383A"/>
    <w:p w14:paraId="4843E353" w14:textId="77777777" w:rsidR="0059383A" w:rsidRDefault="00593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0CDA"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2360F3">
      <w:rPr>
        <w:noProof/>
      </w:rPr>
      <w:t>2</w:t>
    </w:r>
    <w:r>
      <w:fldChar w:fldCharType="end"/>
    </w:r>
    <w:r>
      <w:t xml:space="preserve"> of </w:t>
    </w:r>
    <w:r w:rsidR="0059383A">
      <w:fldChar w:fldCharType="begin"/>
    </w:r>
    <w:r w:rsidR="0059383A">
      <w:instrText xml:space="preserve"> NUMPAGES</w:instrText>
    </w:r>
    <w:r w:rsidR="0059383A">
      <w:instrText xml:space="preserve">   \* MERGEFORMAT </w:instrText>
    </w:r>
    <w:r w:rsidR="0059383A">
      <w:fldChar w:fldCharType="separate"/>
    </w:r>
    <w:r w:rsidR="002360F3">
      <w:rPr>
        <w:noProof/>
      </w:rPr>
      <w:t>2</w:t>
    </w:r>
    <w:r w:rsidR="0059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0C40" w14:textId="77777777"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07A9325E" wp14:editId="00FDFFC4">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5C3C" w14:textId="77777777" w:rsidR="0059383A" w:rsidRDefault="0059383A" w:rsidP="00FB1990">
      <w:pPr>
        <w:pStyle w:val="Spacer"/>
      </w:pPr>
      <w:r>
        <w:separator/>
      </w:r>
    </w:p>
    <w:p w14:paraId="58244FB3" w14:textId="77777777" w:rsidR="0059383A" w:rsidRDefault="0059383A" w:rsidP="00FB1990">
      <w:pPr>
        <w:pStyle w:val="Spacer"/>
      </w:pPr>
    </w:p>
  </w:footnote>
  <w:footnote w:type="continuationSeparator" w:id="0">
    <w:p w14:paraId="50229740" w14:textId="77777777" w:rsidR="0059383A" w:rsidRDefault="0059383A">
      <w:r>
        <w:continuationSeparator/>
      </w:r>
    </w:p>
    <w:p w14:paraId="5A11566E" w14:textId="77777777" w:rsidR="0059383A" w:rsidRDefault="0059383A"/>
    <w:p w14:paraId="662D8E2E" w14:textId="77777777" w:rsidR="0059383A" w:rsidRDefault="00593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31AC" w14:textId="77777777" w:rsidR="00735BFF" w:rsidRDefault="00735BFF" w:rsidP="00C40EAE">
    <w:pPr>
      <w:pStyle w:val="Header"/>
      <w:jc w:val="right"/>
    </w:pPr>
    <w:r w:rsidRPr="00CD3498">
      <w:tab/>
      <w:t xml:space="preserve">Te Tari </w:t>
    </w:r>
    <w:proofErr w:type="spellStart"/>
    <w:r w:rsidRPr="00CD3498">
      <w:t>Taiwhenua</w:t>
    </w:r>
    <w:proofErr w:type="spellEnd"/>
  </w:p>
  <w:p w14:paraId="46E48AEC" w14:textId="77777777"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434A" w14:textId="77777777" w:rsidR="003F52D2" w:rsidRDefault="003F52D2">
    <w:pPr>
      <w:pStyle w:val="Header"/>
    </w:pPr>
    <w:r>
      <w:rPr>
        <w:noProof/>
        <w:lang w:eastAsia="en-NZ"/>
      </w:rPr>
      <w:drawing>
        <wp:anchor distT="0" distB="0" distL="114300" distR="114300" simplePos="0" relativeHeight="251660288"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11A57F2"/>
    <w:multiLevelType w:val="hybridMultilevel"/>
    <w:tmpl w:val="E16CA162"/>
    <w:lvl w:ilvl="0" w:tplc="08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BC96B57"/>
    <w:multiLevelType w:val="hybridMultilevel"/>
    <w:tmpl w:val="C8003E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3F19DA"/>
    <w:multiLevelType w:val="hybridMultilevel"/>
    <w:tmpl w:val="084EE94E"/>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A06F3"/>
    <w:multiLevelType w:val="hybridMultilevel"/>
    <w:tmpl w:val="55AABA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186CE0"/>
    <w:multiLevelType w:val="hybridMultilevel"/>
    <w:tmpl w:val="466AB2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5DC232E0"/>
    <w:multiLevelType w:val="hybridMultilevel"/>
    <w:tmpl w:val="5144013E"/>
    <w:lvl w:ilvl="0" w:tplc="20BAE70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15:restartNumberingAfterBreak="0">
    <w:nsid w:val="7B2E79F4"/>
    <w:multiLevelType w:val="hybridMultilevel"/>
    <w:tmpl w:val="96BACDEC"/>
    <w:lvl w:ilvl="0" w:tplc="0C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5"/>
  </w:num>
  <w:num w:numId="9">
    <w:abstractNumId w:val="18"/>
  </w:num>
  <w:num w:numId="10">
    <w:abstractNumId w:val="11"/>
  </w:num>
  <w:num w:numId="11">
    <w:abstractNumId w:val="26"/>
  </w:num>
  <w:num w:numId="12">
    <w:abstractNumId w:val="28"/>
  </w:num>
  <w:num w:numId="13">
    <w:abstractNumId w:val="30"/>
  </w:num>
  <w:num w:numId="14">
    <w:abstractNumId w:val="7"/>
  </w:num>
  <w:num w:numId="15">
    <w:abstractNumId w:val="16"/>
  </w:num>
  <w:num w:numId="16">
    <w:abstractNumId w:val="31"/>
  </w:num>
  <w:num w:numId="17">
    <w:abstractNumId w:val="29"/>
  </w:num>
  <w:num w:numId="18">
    <w:abstractNumId w:val="27"/>
  </w:num>
  <w:num w:numId="19">
    <w:abstractNumId w:val="19"/>
  </w:num>
  <w:num w:numId="20">
    <w:abstractNumId w:val="17"/>
  </w:num>
  <w:num w:numId="21">
    <w:abstractNumId w:val="9"/>
  </w:num>
  <w:num w:numId="22">
    <w:abstractNumId w:val="6"/>
  </w:num>
  <w:num w:numId="23">
    <w:abstractNumId w:val="12"/>
  </w:num>
  <w:num w:numId="24">
    <w:abstractNumId w:val="8"/>
  </w:num>
  <w:num w:numId="25">
    <w:abstractNumId w:val="23"/>
  </w:num>
  <w:num w:numId="26">
    <w:abstractNumId w:val="22"/>
  </w:num>
  <w:num w:numId="27">
    <w:abstractNumId w:val="26"/>
  </w:num>
  <w:num w:numId="28">
    <w:abstractNumId w:val="28"/>
  </w:num>
  <w:num w:numId="29">
    <w:abstractNumId w:val="26"/>
  </w:num>
  <w:num w:numId="30">
    <w:abstractNumId w:val="26"/>
  </w:num>
  <w:num w:numId="31">
    <w:abstractNumId w:val="28"/>
  </w:num>
  <w:num w:numId="32">
    <w:abstractNumId w:val="28"/>
  </w:num>
  <w:num w:numId="33">
    <w:abstractNumId w:val="28"/>
  </w:num>
  <w:num w:numId="34">
    <w:abstractNumId w:val="15"/>
  </w:num>
  <w:num w:numId="35">
    <w:abstractNumId w:val="10"/>
  </w:num>
  <w:num w:numId="36">
    <w:abstractNumId w:val="20"/>
  </w:num>
  <w:num w:numId="37">
    <w:abstractNumId w:val="14"/>
  </w:num>
  <w:num w:numId="38">
    <w:abstractNumId w:val="24"/>
  </w:num>
  <w:num w:numId="39">
    <w:abstractNumId w:val="32"/>
  </w:num>
  <w:num w:numId="4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7E"/>
    <w:rsid w:val="00003360"/>
    <w:rsid w:val="00003FC7"/>
    <w:rsid w:val="00005919"/>
    <w:rsid w:val="00007C42"/>
    <w:rsid w:val="0001097B"/>
    <w:rsid w:val="00013601"/>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60E"/>
    <w:rsid w:val="0008288C"/>
    <w:rsid w:val="00091C3A"/>
    <w:rsid w:val="000B2E26"/>
    <w:rsid w:val="000D61F6"/>
    <w:rsid w:val="000E20B5"/>
    <w:rsid w:val="000E3240"/>
    <w:rsid w:val="000E677B"/>
    <w:rsid w:val="000F4ADF"/>
    <w:rsid w:val="000F61AF"/>
    <w:rsid w:val="0010171C"/>
    <w:rsid w:val="00102FAD"/>
    <w:rsid w:val="00105000"/>
    <w:rsid w:val="0011581D"/>
    <w:rsid w:val="00121870"/>
    <w:rsid w:val="00126FDE"/>
    <w:rsid w:val="0013703F"/>
    <w:rsid w:val="00140ED2"/>
    <w:rsid w:val="00143E7C"/>
    <w:rsid w:val="0014415C"/>
    <w:rsid w:val="0014565E"/>
    <w:rsid w:val="001536C9"/>
    <w:rsid w:val="0016203A"/>
    <w:rsid w:val="0016433D"/>
    <w:rsid w:val="001676BD"/>
    <w:rsid w:val="00184C0F"/>
    <w:rsid w:val="001A5F55"/>
    <w:rsid w:val="001C0031"/>
    <w:rsid w:val="001C0C30"/>
    <w:rsid w:val="001C15EE"/>
    <w:rsid w:val="001D0111"/>
    <w:rsid w:val="001D30D4"/>
    <w:rsid w:val="001D5C69"/>
    <w:rsid w:val="001D7EAE"/>
    <w:rsid w:val="001E3565"/>
    <w:rsid w:val="001E64FC"/>
    <w:rsid w:val="001F0724"/>
    <w:rsid w:val="002007DF"/>
    <w:rsid w:val="00205FE8"/>
    <w:rsid w:val="00206BA3"/>
    <w:rsid w:val="00215160"/>
    <w:rsid w:val="002224B4"/>
    <w:rsid w:val="00226D5E"/>
    <w:rsid w:val="002360F3"/>
    <w:rsid w:val="00237A3D"/>
    <w:rsid w:val="00240E83"/>
    <w:rsid w:val="002502D1"/>
    <w:rsid w:val="00255E1D"/>
    <w:rsid w:val="00260A17"/>
    <w:rsid w:val="00260C2E"/>
    <w:rsid w:val="00265F69"/>
    <w:rsid w:val="00267EDC"/>
    <w:rsid w:val="00270EEC"/>
    <w:rsid w:val="00272C04"/>
    <w:rsid w:val="002777D8"/>
    <w:rsid w:val="002806A2"/>
    <w:rsid w:val="00285621"/>
    <w:rsid w:val="00297CC7"/>
    <w:rsid w:val="002A194F"/>
    <w:rsid w:val="002A4BD9"/>
    <w:rsid w:val="002A4FE7"/>
    <w:rsid w:val="002B0B6A"/>
    <w:rsid w:val="002B1CEB"/>
    <w:rsid w:val="002B7392"/>
    <w:rsid w:val="002C71C6"/>
    <w:rsid w:val="002D3125"/>
    <w:rsid w:val="002D4F42"/>
    <w:rsid w:val="002E3140"/>
    <w:rsid w:val="002E359F"/>
    <w:rsid w:val="0030084C"/>
    <w:rsid w:val="003039E1"/>
    <w:rsid w:val="003129BA"/>
    <w:rsid w:val="003148FC"/>
    <w:rsid w:val="0032132E"/>
    <w:rsid w:val="00330820"/>
    <w:rsid w:val="00342697"/>
    <w:rsid w:val="003465C8"/>
    <w:rsid w:val="00361F25"/>
    <w:rsid w:val="0037016B"/>
    <w:rsid w:val="003706D3"/>
    <w:rsid w:val="00370FC0"/>
    <w:rsid w:val="00373206"/>
    <w:rsid w:val="003737ED"/>
    <w:rsid w:val="00375B80"/>
    <w:rsid w:val="00377352"/>
    <w:rsid w:val="003A0BDB"/>
    <w:rsid w:val="003A10DA"/>
    <w:rsid w:val="003A12C8"/>
    <w:rsid w:val="003A6FFE"/>
    <w:rsid w:val="003A7695"/>
    <w:rsid w:val="003B3A23"/>
    <w:rsid w:val="003B6592"/>
    <w:rsid w:val="003C772C"/>
    <w:rsid w:val="003D175D"/>
    <w:rsid w:val="003E01BF"/>
    <w:rsid w:val="003F1357"/>
    <w:rsid w:val="003F159C"/>
    <w:rsid w:val="003F217E"/>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67B04"/>
    <w:rsid w:val="00472A55"/>
    <w:rsid w:val="00476068"/>
    <w:rsid w:val="004763B3"/>
    <w:rsid w:val="00477619"/>
    <w:rsid w:val="00486E6E"/>
    <w:rsid w:val="004875DF"/>
    <w:rsid w:val="00487C1D"/>
    <w:rsid w:val="00494C6F"/>
    <w:rsid w:val="004A18AF"/>
    <w:rsid w:val="004A5823"/>
    <w:rsid w:val="004B0AAF"/>
    <w:rsid w:val="004B214C"/>
    <w:rsid w:val="004B3924"/>
    <w:rsid w:val="004C4DDD"/>
    <w:rsid w:val="004C5831"/>
    <w:rsid w:val="004C5F40"/>
    <w:rsid w:val="004C6953"/>
    <w:rsid w:val="004C7001"/>
    <w:rsid w:val="004D1706"/>
    <w:rsid w:val="004D243F"/>
    <w:rsid w:val="004D7473"/>
    <w:rsid w:val="004F0F9E"/>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57A58"/>
    <w:rsid w:val="005605A5"/>
    <w:rsid w:val="00560B3C"/>
    <w:rsid w:val="00561A97"/>
    <w:rsid w:val="00563DAC"/>
    <w:rsid w:val="005675E0"/>
    <w:rsid w:val="00570A71"/>
    <w:rsid w:val="00570C00"/>
    <w:rsid w:val="00576AAA"/>
    <w:rsid w:val="00577AD6"/>
    <w:rsid w:val="0058206B"/>
    <w:rsid w:val="005848D3"/>
    <w:rsid w:val="00585690"/>
    <w:rsid w:val="0059383A"/>
    <w:rsid w:val="00594AAA"/>
    <w:rsid w:val="00595B33"/>
    <w:rsid w:val="0059662F"/>
    <w:rsid w:val="00596858"/>
    <w:rsid w:val="005A2652"/>
    <w:rsid w:val="005B7254"/>
    <w:rsid w:val="005D3066"/>
    <w:rsid w:val="005D6013"/>
    <w:rsid w:val="005E4B13"/>
    <w:rsid w:val="005E4C02"/>
    <w:rsid w:val="005F01DF"/>
    <w:rsid w:val="005F12B8"/>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0B98"/>
    <w:rsid w:val="006713ED"/>
    <w:rsid w:val="00675B43"/>
    <w:rsid w:val="00676C9F"/>
    <w:rsid w:val="00677B13"/>
    <w:rsid w:val="00677F4E"/>
    <w:rsid w:val="00681A08"/>
    <w:rsid w:val="00684D0C"/>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1385"/>
    <w:rsid w:val="006D638F"/>
    <w:rsid w:val="006D7384"/>
    <w:rsid w:val="006E7BF7"/>
    <w:rsid w:val="00702F2C"/>
    <w:rsid w:val="007067E1"/>
    <w:rsid w:val="007068C8"/>
    <w:rsid w:val="00715B8F"/>
    <w:rsid w:val="0073106E"/>
    <w:rsid w:val="00735BFF"/>
    <w:rsid w:val="00737813"/>
    <w:rsid w:val="00755142"/>
    <w:rsid w:val="00756BB7"/>
    <w:rsid w:val="0075764B"/>
    <w:rsid w:val="00760C01"/>
    <w:rsid w:val="00761293"/>
    <w:rsid w:val="00767C04"/>
    <w:rsid w:val="007736A2"/>
    <w:rsid w:val="007A06ED"/>
    <w:rsid w:val="007A6226"/>
    <w:rsid w:val="007B07BF"/>
    <w:rsid w:val="007B3C61"/>
    <w:rsid w:val="007B4CB0"/>
    <w:rsid w:val="007D1918"/>
    <w:rsid w:val="007F03F2"/>
    <w:rsid w:val="008023C3"/>
    <w:rsid w:val="008031DF"/>
    <w:rsid w:val="008065D7"/>
    <w:rsid w:val="008111A3"/>
    <w:rsid w:val="0081671B"/>
    <w:rsid w:val="00816E30"/>
    <w:rsid w:val="0081703A"/>
    <w:rsid w:val="00817269"/>
    <w:rsid w:val="00820EC3"/>
    <w:rsid w:val="0082264B"/>
    <w:rsid w:val="0082765B"/>
    <w:rsid w:val="008320BC"/>
    <w:rsid w:val="008352B1"/>
    <w:rsid w:val="008353E7"/>
    <w:rsid w:val="00835BD7"/>
    <w:rsid w:val="00841F73"/>
    <w:rsid w:val="008428E8"/>
    <w:rsid w:val="00843D71"/>
    <w:rsid w:val="00846F11"/>
    <w:rsid w:val="0084745A"/>
    <w:rsid w:val="00857593"/>
    <w:rsid w:val="0086344C"/>
    <w:rsid w:val="00870045"/>
    <w:rsid w:val="00876E5F"/>
    <w:rsid w:val="00877819"/>
    <w:rsid w:val="00884A12"/>
    <w:rsid w:val="00890CE4"/>
    <w:rsid w:val="00891ED7"/>
    <w:rsid w:val="00894052"/>
    <w:rsid w:val="008966DE"/>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64F3"/>
    <w:rsid w:val="009170B9"/>
    <w:rsid w:val="00923A87"/>
    <w:rsid w:val="00927482"/>
    <w:rsid w:val="00936FF5"/>
    <w:rsid w:val="0094654B"/>
    <w:rsid w:val="00947837"/>
    <w:rsid w:val="0095112B"/>
    <w:rsid w:val="00952122"/>
    <w:rsid w:val="009547AD"/>
    <w:rsid w:val="0095712A"/>
    <w:rsid w:val="009576D4"/>
    <w:rsid w:val="00973A6D"/>
    <w:rsid w:val="009804E0"/>
    <w:rsid w:val="00983735"/>
    <w:rsid w:val="009865AA"/>
    <w:rsid w:val="00987080"/>
    <w:rsid w:val="0098765A"/>
    <w:rsid w:val="00987E5B"/>
    <w:rsid w:val="00991620"/>
    <w:rsid w:val="009968B0"/>
    <w:rsid w:val="009A1850"/>
    <w:rsid w:val="009A6CB2"/>
    <w:rsid w:val="009B0982"/>
    <w:rsid w:val="009B4C99"/>
    <w:rsid w:val="009C13FB"/>
    <w:rsid w:val="009C42A8"/>
    <w:rsid w:val="009D28CF"/>
    <w:rsid w:val="009D546F"/>
    <w:rsid w:val="009E166E"/>
    <w:rsid w:val="009E40D1"/>
    <w:rsid w:val="009E5D36"/>
    <w:rsid w:val="009E6375"/>
    <w:rsid w:val="009E7CA0"/>
    <w:rsid w:val="009F3E56"/>
    <w:rsid w:val="00A04392"/>
    <w:rsid w:val="00A069CE"/>
    <w:rsid w:val="00A109D8"/>
    <w:rsid w:val="00A16003"/>
    <w:rsid w:val="00A167D7"/>
    <w:rsid w:val="00A23D39"/>
    <w:rsid w:val="00A23EC2"/>
    <w:rsid w:val="00A24FBB"/>
    <w:rsid w:val="00A332E8"/>
    <w:rsid w:val="00A3453E"/>
    <w:rsid w:val="00A42885"/>
    <w:rsid w:val="00A42ED2"/>
    <w:rsid w:val="00A44B33"/>
    <w:rsid w:val="00A50E00"/>
    <w:rsid w:val="00A52529"/>
    <w:rsid w:val="00A53624"/>
    <w:rsid w:val="00A55EAF"/>
    <w:rsid w:val="00A5766B"/>
    <w:rsid w:val="00A77512"/>
    <w:rsid w:val="00A863E3"/>
    <w:rsid w:val="00A94161"/>
    <w:rsid w:val="00A97BFB"/>
    <w:rsid w:val="00AA13FF"/>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1319E"/>
    <w:rsid w:val="00B21166"/>
    <w:rsid w:val="00B263AE"/>
    <w:rsid w:val="00B33A6C"/>
    <w:rsid w:val="00B42F17"/>
    <w:rsid w:val="00B43A02"/>
    <w:rsid w:val="00B47091"/>
    <w:rsid w:val="00B54416"/>
    <w:rsid w:val="00B54C50"/>
    <w:rsid w:val="00B56035"/>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48EF"/>
    <w:rsid w:val="00BA77F1"/>
    <w:rsid w:val="00BB0D90"/>
    <w:rsid w:val="00BB3B51"/>
    <w:rsid w:val="00BB60C6"/>
    <w:rsid w:val="00BB7984"/>
    <w:rsid w:val="00BC1F07"/>
    <w:rsid w:val="00BC45F7"/>
    <w:rsid w:val="00BC6A06"/>
    <w:rsid w:val="00BD137C"/>
    <w:rsid w:val="00BE3BC7"/>
    <w:rsid w:val="00BF0C5F"/>
    <w:rsid w:val="00BF1AB7"/>
    <w:rsid w:val="00BF7FE9"/>
    <w:rsid w:val="00C001F8"/>
    <w:rsid w:val="00C03596"/>
    <w:rsid w:val="00C05EEC"/>
    <w:rsid w:val="00C14545"/>
    <w:rsid w:val="00C15A13"/>
    <w:rsid w:val="00C238D9"/>
    <w:rsid w:val="00C24A9D"/>
    <w:rsid w:val="00C2677E"/>
    <w:rsid w:val="00C31542"/>
    <w:rsid w:val="00C32604"/>
    <w:rsid w:val="00C37E3F"/>
    <w:rsid w:val="00C5028E"/>
    <w:rsid w:val="00C54E78"/>
    <w:rsid w:val="00C6078D"/>
    <w:rsid w:val="00C657CF"/>
    <w:rsid w:val="00C80D62"/>
    <w:rsid w:val="00C8388B"/>
    <w:rsid w:val="00C84944"/>
    <w:rsid w:val="00C90217"/>
    <w:rsid w:val="00C9532B"/>
    <w:rsid w:val="00C96BFD"/>
    <w:rsid w:val="00C96C98"/>
    <w:rsid w:val="00CA5358"/>
    <w:rsid w:val="00CB1DCA"/>
    <w:rsid w:val="00CD502A"/>
    <w:rsid w:val="00CF0C77"/>
    <w:rsid w:val="00CF12CF"/>
    <w:rsid w:val="00CF3A47"/>
    <w:rsid w:val="00CF4BE3"/>
    <w:rsid w:val="00D060D2"/>
    <w:rsid w:val="00D13E2D"/>
    <w:rsid w:val="00D14394"/>
    <w:rsid w:val="00D242CD"/>
    <w:rsid w:val="00D26F74"/>
    <w:rsid w:val="00D304C1"/>
    <w:rsid w:val="00D341C3"/>
    <w:rsid w:val="00D42843"/>
    <w:rsid w:val="00D43F10"/>
    <w:rsid w:val="00D43FDE"/>
    <w:rsid w:val="00D5152A"/>
    <w:rsid w:val="00D560EB"/>
    <w:rsid w:val="00D65145"/>
    <w:rsid w:val="00D73D87"/>
    <w:rsid w:val="00D74314"/>
    <w:rsid w:val="00D77451"/>
    <w:rsid w:val="00D81410"/>
    <w:rsid w:val="00D819D3"/>
    <w:rsid w:val="00D92505"/>
    <w:rsid w:val="00DA267C"/>
    <w:rsid w:val="00DA27B3"/>
    <w:rsid w:val="00DA5101"/>
    <w:rsid w:val="00DA62E8"/>
    <w:rsid w:val="00DA79EF"/>
    <w:rsid w:val="00DB0C0B"/>
    <w:rsid w:val="00DB3B74"/>
    <w:rsid w:val="00DB79DE"/>
    <w:rsid w:val="00DC5870"/>
    <w:rsid w:val="00DD0384"/>
    <w:rsid w:val="00DD0901"/>
    <w:rsid w:val="00DD4AB0"/>
    <w:rsid w:val="00DE16B6"/>
    <w:rsid w:val="00DE3323"/>
    <w:rsid w:val="00DE366C"/>
    <w:rsid w:val="00DE36CA"/>
    <w:rsid w:val="00DE7E63"/>
    <w:rsid w:val="00DF5AA8"/>
    <w:rsid w:val="00DF77A2"/>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B1583"/>
    <w:rsid w:val="00EB2B6D"/>
    <w:rsid w:val="00EB54A9"/>
    <w:rsid w:val="00EC23FB"/>
    <w:rsid w:val="00EC386E"/>
    <w:rsid w:val="00EC7017"/>
    <w:rsid w:val="00ED37A7"/>
    <w:rsid w:val="00ED4356"/>
    <w:rsid w:val="00ED7681"/>
    <w:rsid w:val="00EE243C"/>
    <w:rsid w:val="00EF63C6"/>
    <w:rsid w:val="00F034FB"/>
    <w:rsid w:val="00F05606"/>
    <w:rsid w:val="00F105F5"/>
    <w:rsid w:val="00F1075A"/>
    <w:rsid w:val="00F22E82"/>
    <w:rsid w:val="00F2483A"/>
    <w:rsid w:val="00F250AB"/>
    <w:rsid w:val="00F337BF"/>
    <w:rsid w:val="00F33D14"/>
    <w:rsid w:val="00F37CB1"/>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A0D7DE5"/>
  <w15:docId w15:val="{DE5E4280-0FFA-4750-8446-823DAAE2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Specialist_v7/$file/DIA_Profile_Specialist_v7.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Specialist%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1A478E0B5BBFAD48A5A10860D5F90F27" ma:contentTypeVersion="5" ma:contentTypeDescription="Use for any document related to a job description" ma:contentTypeScope="" ma:versionID="1414875fd04f3742a0b0b1981259872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47b9a2a1a43fd99be8531fd392b0e96"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99;#Information and Knowledge Services (IKS)|3e348ab4-48ee-4532-b7e2-d7d980249bb4"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4</Value>
      <Value>570</Value>
      <Value>199</Value>
      <Value>1</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National Library</TermName>
          <TermId xmlns="http://schemas.microsoft.com/office/infopath/2007/PartnerControls">9351619d-2610-407e-b49d-c2a2063292e1</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Information and Knowledge Services (IKS)</TermName>
          <TermId xmlns="http://schemas.microsoft.com/office/infopath/2007/PartnerControls">3e348ab4-48ee-4532-b7e2-d7d980249bb4</TermId>
        </TermInfo>
      </Terms>
    </bd91311754d44584aa154213d89a7877>
    <b4e599394e5a49b2b73defab99f3cfa7 xmlns="ce404f2c-b0eb-493e-ac64-5bd3de555ba4">
      <Terms xmlns="http://schemas.microsoft.com/office/infopath/2007/PartnerControls"/>
    </b4e599394e5a49b2b73defab99f3cfa7>
    <_dlc_DocId xmlns="ce404f2c-b0eb-493e-ac64-5bd3de555ba4">4V7JHWUKMACF-1449644632-736</_dlc_DocId>
    <_dlc_DocIdUrl xmlns="ce404f2c-b0eb-493e-ac64-5bd3de555ba4">
      <Url>https://dia.cohesion.net.nz/Sites/PEO/JDE/JDS/_layouts/15/DocIdRedir.aspx?ID=4V7JHWUKMACF-1449644632-736</Url>
      <Description>4V7JHWUKMACF-1449644632-736</Description>
    </_dlc_DocIdUrl>
  </documentManagement>
</p:properties>
</file>

<file path=customXml/itemProps1.xml><?xml version="1.0" encoding="utf-8"?>
<ds:datastoreItem xmlns:ds="http://schemas.openxmlformats.org/officeDocument/2006/customXml" ds:itemID="{F0A2A2A0-4ADA-4E06-A053-7DDDA9DBC291}">
  <ds:schemaRefs>
    <ds:schemaRef ds:uri="http://schemas.openxmlformats.org/officeDocument/2006/bibliography"/>
  </ds:schemaRefs>
</ds:datastoreItem>
</file>

<file path=customXml/itemProps2.xml><?xml version="1.0" encoding="utf-8"?>
<ds:datastoreItem xmlns:ds="http://schemas.openxmlformats.org/officeDocument/2006/customXml" ds:itemID="{DA9AA40F-ACF5-414B-A457-454B93BFC8E5}"/>
</file>

<file path=customXml/itemProps3.xml><?xml version="1.0" encoding="utf-8"?>
<ds:datastoreItem xmlns:ds="http://schemas.openxmlformats.org/officeDocument/2006/customXml" ds:itemID="{D5DDB615-6909-411C-92D8-C940B37E8A84}"/>
</file>

<file path=customXml/itemProps4.xml><?xml version="1.0" encoding="utf-8"?>
<ds:datastoreItem xmlns:ds="http://schemas.openxmlformats.org/officeDocument/2006/customXml" ds:itemID="{CB14B9B6-90D9-4786-A626-D1778EDEB014}"/>
</file>

<file path=customXml/itemProps5.xml><?xml version="1.0" encoding="utf-8"?>
<ds:datastoreItem xmlns:ds="http://schemas.openxmlformats.org/officeDocument/2006/customXml" ds:itemID="{45277889-9BAE-41FB-A70F-D224CFF47FA5}"/>
</file>

<file path=docProps/app.xml><?xml version="1.0" encoding="utf-8"?>
<Properties xmlns="http://schemas.openxmlformats.org/officeDocument/2006/extended-properties" xmlns:vt="http://schemas.openxmlformats.org/officeDocument/2006/docPropsVTypes">
  <Template>Specialist JD</Template>
  <TotalTime>242</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Watling</dc:creator>
  <cp:lastModifiedBy>Amy Watling</cp:lastModifiedBy>
  <cp:revision>49</cp:revision>
  <cp:lastPrinted>2014-12-23T20:51:00Z</cp:lastPrinted>
  <dcterms:created xsi:type="dcterms:W3CDTF">2019-07-23T23:51:00Z</dcterms:created>
  <dcterms:modified xsi:type="dcterms:W3CDTF">2019-08-09T02:08:00Z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0x0101005496552013C0BA46BE88192D5C6EB20B0031F30CFD6B2244409318FB656FECFFE8001A478E0B5BBFAD48A5A10860D5F90F27</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199;#Information and Knowledge Services (IKS)|3e348ab4-48ee-4532-b7e2-d7d980249bb4</vt:lpwstr>
  </property>
  <property fmtid="{D5CDD505-2E9C-101B-9397-08002B2CF9AE}" pid="6" name="DIABusinessGroup">
    <vt:lpwstr>570;#National Library|9351619d-2610-407e-b49d-c2a2063292e1</vt:lpwstr>
  </property>
  <property fmtid="{D5CDD505-2E9C-101B-9397-08002B2CF9AE}" pid="7" name="_dlc_DocIdItemGuid">
    <vt:lpwstr>9f2a2726-b6bf-4641-a0ca-7519f27891c7</vt:lpwstr>
  </property>
</Properties>
</file>