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001" w:rsidRDefault="000B7001" w:rsidP="00516C66">
      <w:pPr>
        <w:spacing w:line="630" w:lineRule="exact"/>
        <w:ind w:right="182"/>
        <w:rPr>
          <w:b/>
          <w:color w:val="1F536B"/>
          <w:sz w:val="52"/>
        </w:rPr>
      </w:pPr>
    </w:p>
    <w:p w:rsidR="001676BD" w:rsidRPr="00FF4375" w:rsidRDefault="00FF4375" w:rsidP="00516C66">
      <w:pPr>
        <w:spacing w:line="630" w:lineRule="exact"/>
        <w:ind w:right="182"/>
        <w:rPr>
          <w:b/>
          <w:sz w:val="52"/>
        </w:rPr>
      </w:pPr>
      <w:bookmarkStart w:id="0" w:name="_GoBack"/>
      <w:bookmarkEnd w:id="0"/>
      <w:r w:rsidRPr="00BF3589">
        <w:rPr>
          <w:b/>
          <w:color w:val="1F536B"/>
          <w:sz w:val="52"/>
        </w:rPr>
        <w:t>Curator</w:t>
      </w:r>
      <w:r>
        <w:rPr>
          <w:b/>
          <w:color w:val="1F536B"/>
          <w:sz w:val="52"/>
        </w:rPr>
        <w:t>, Contemporary Voices and Archives</w:t>
      </w:r>
    </w:p>
    <w:p w:rsidR="001676BD" w:rsidRPr="001676BD" w:rsidRDefault="004139C6" w:rsidP="001113E5">
      <w:pPr>
        <w:pStyle w:val="Heading2"/>
      </w:pPr>
      <w:r>
        <w:t xml:space="preserve">Alexander Turnbull Library, </w:t>
      </w:r>
      <w:r w:rsidR="00FF4375">
        <w:t>National Library, I</w:t>
      </w:r>
      <w:r>
        <w:t>KS</w:t>
      </w:r>
    </w:p>
    <w:p w:rsidR="00FF4375" w:rsidRDefault="00FF4375" w:rsidP="00FF4375">
      <w:pPr>
        <w:pStyle w:val="BodyText"/>
        <w:spacing w:before="122"/>
        <w:ind w:left="152" w:right="182"/>
      </w:pPr>
      <w:r w:rsidRPr="00BF3589">
        <w:t>Curator</w:t>
      </w:r>
      <w:r>
        <w:t xml:space="preserve">s are part of the Curatorial Services Team at the Alexander Turnbull Library and are responsible for managing a specific </w:t>
      </w:r>
      <w:r w:rsidRPr="00BF3589">
        <w:t>collection</w:t>
      </w:r>
      <w:r>
        <w:t xml:space="preserve"> or working across formats and collecting areas on special projects, such as working with communities to develop and promote the collections of the Library. Curator, Contemporary Voices and Archives will have responsibility for developing and promoting collections across format type</w:t>
      </w:r>
      <w:r w:rsidR="001A1383">
        <w:t>,</w:t>
      </w:r>
      <w:r w:rsidR="00A54AE6">
        <w:t xml:space="preserve"> </w:t>
      </w:r>
      <w:r>
        <w:t>that build the Library’s collections of the Contemporary Voices and Archives of people and communities of New Zealand and the Pacific</w:t>
      </w:r>
      <w:r w:rsidR="00A54AE6">
        <w:t>, with a specific focus on those people and communities currently unrepresented or underrepresented in the Library</w:t>
      </w:r>
      <w:r>
        <w:t>.</w:t>
      </w:r>
    </w:p>
    <w:p w:rsidR="00FF4375" w:rsidRDefault="00FF4375" w:rsidP="00FF4375">
      <w:pPr>
        <w:pStyle w:val="BodyText"/>
        <w:ind w:left="152" w:right="181"/>
      </w:pPr>
      <w:r>
        <w:t>Responsibilities include the development of collections through donation and purchase, providing research services for those who wish to use the collections, undertaking and publishing research into the Library’s collections, developing exhibitions (physical and digital), contributing to the Library’s digitisation programmes, maintaining links with the research community, and promoting the collections to potential user groups.</w:t>
      </w:r>
    </w:p>
    <w:p w:rsidR="001676BD" w:rsidRPr="00267EDC" w:rsidRDefault="00FF4375" w:rsidP="00FF4375">
      <w:pPr>
        <w:pStyle w:val="BodyText"/>
        <w:spacing w:before="122"/>
        <w:ind w:left="152" w:right="279"/>
      </w:pPr>
      <w:r>
        <w:t xml:space="preserve">The role of Curator spans the range of requirements underpinning the purposes of the Alexander Turnbull Library (ATL) as defined in the National Library of New Zealand Act 2003, </w:t>
      </w:r>
      <w:proofErr w:type="spellStart"/>
      <w:r>
        <w:t>ie</w:t>
      </w:r>
      <w:proofErr w:type="spellEnd"/>
      <w:r>
        <w:t xml:space="preserve"> to “preserve, protect, develop and make accessible” the ATL collections in a manner “consistent with their status as documentary heritage and taonga”.</w:t>
      </w:r>
    </w:p>
    <w:p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FF4375">
        <w:t>Curatorial Services Leader</w:t>
      </w:r>
    </w:p>
    <w:p w:rsidR="001676BD" w:rsidRPr="005A2652" w:rsidRDefault="001676BD" w:rsidP="001676BD">
      <w:pPr>
        <w:pStyle w:val="Bullethighlighted"/>
        <w:rPr>
          <w:rStyle w:val="BullethighlightedChar"/>
        </w:rPr>
      </w:pPr>
      <w:r w:rsidRPr="00285621">
        <w:t>Location:</w:t>
      </w:r>
      <w:r>
        <w:t xml:space="preserve"> </w:t>
      </w:r>
      <w:r w:rsidR="00FF4375">
        <w:rPr>
          <w:b w:val="0"/>
          <w:color w:val="auto"/>
        </w:rPr>
        <w:t>Wellington</w:t>
      </w:r>
    </w:p>
    <w:p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FF4375">
        <w:t>Information Management H</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o serve and connect people, communities and government to build a safe, prosperous and respected nation.</w:t>
      </w:r>
    </w:p>
    <w:p w:rsidR="001676BD" w:rsidRPr="00285621" w:rsidRDefault="00BF0C5F" w:rsidP="00285621">
      <w:r w:rsidRPr="00285621">
        <w:t>In other words, it’s all about helping to make New Zealand better for New Zealanders.</w:t>
      </w:r>
    </w:p>
    <w:p w:rsidR="001B085C" w:rsidRPr="00EA0D40" w:rsidRDefault="001B085C" w:rsidP="00EA0D40"/>
    <w:p w:rsidR="001B085C" w:rsidRPr="00EA0D40" w:rsidRDefault="001B085C" w:rsidP="00EA0D40"/>
    <w:p w:rsidR="00EA0D40" w:rsidRPr="00EA0D40" w:rsidRDefault="00EA0D40" w:rsidP="00EA0D40"/>
    <w:p w:rsidR="00EA0D40" w:rsidRPr="00EA0D40" w:rsidRDefault="00EA0D40" w:rsidP="00EA0D40"/>
    <w:p w:rsidR="001676BD" w:rsidRDefault="001676BD" w:rsidP="00EA0D40">
      <w:pPr>
        <w:pStyle w:val="Heading2withoverline"/>
        <w:spacing w:before="0" w:after="0"/>
      </w:pPr>
      <w:r w:rsidRPr="00B56D48">
        <w:lastRenderedPageBreak/>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C001F8" w:rsidRDefault="00C001F8" w:rsidP="00C001F8">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rsidR="00DA62E8" w:rsidRDefault="00C001F8">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rsidR="00952122" w:rsidRDefault="00952122" w:rsidP="00DA62E8">
      <w:pPr>
        <w:pStyle w:val="Tinyline"/>
        <w:sectPr w:rsidR="00952122"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p w:rsidR="006713ED" w:rsidRDefault="006713ED" w:rsidP="00DA62E8">
      <w:pPr>
        <w:pStyle w:val="Tinyline"/>
      </w:pPr>
    </w:p>
    <w:p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49"/>
        <w:gridCol w:w="3866"/>
      </w:tblGrid>
      <w:tr w:rsidR="001C15EE" w:rsidRPr="006B2693" w:rsidTr="003D175D">
        <w:trPr>
          <w:cantSplit/>
          <w:tblHeader/>
        </w:trPr>
        <w:tc>
          <w:tcPr>
            <w:tcW w:w="5812"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3D175D" w:rsidRPr="00FF4375" w:rsidRDefault="00FF4375" w:rsidP="00FF4375">
            <w:pPr>
              <w:pStyle w:val="TableParagraph"/>
              <w:spacing w:before="38"/>
              <w:ind w:left="115" w:right="541"/>
              <w:rPr>
                <w:b/>
                <w:sz w:val="24"/>
              </w:rPr>
            </w:pPr>
            <w:r>
              <w:rPr>
                <w:b/>
                <w:sz w:val="24"/>
              </w:rPr>
              <w:t>Specialist accountabilities - Collections</w:t>
            </w:r>
          </w:p>
          <w:p w:rsidR="00FF4375" w:rsidRDefault="00FF4375" w:rsidP="00FF4375">
            <w:pPr>
              <w:pStyle w:val="Tablebullet"/>
            </w:pPr>
            <w:r>
              <w:t>Build the Library</w:t>
            </w:r>
            <w:r>
              <w:rPr>
                <w:spacing w:val="-23"/>
              </w:rPr>
              <w:t xml:space="preserve"> </w:t>
            </w:r>
            <w:r>
              <w:t>Collections by:</w:t>
            </w:r>
          </w:p>
          <w:p w:rsidR="00FF4375" w:rsidRDefault="00FF4375" w:rsidP="00FF4375">
            <w:pPr>
              <w:pStyle w:val="Tablebulletlevel2"/>
            </w:pPr>
            <w:r>
              <w:t xml:space="preserve">Developing and maintaining strategic collection development plans </w:t>
            </w:r>
          </w:p>
          <w:p w:rsidR="00FF4375" w:rsidRDefault="00FF4375" w:rsidP="00FF4375">
            <w:pPr>
              <w:pStyle w:val="Tablebulletlevel2"/>
            </w:pPr>
            <w:r>
              <w:t>Developing the collections through purchase</w:t>
            </w:r>
            <w:r>
              <w:rPr>
                <w:spacing w:val="-18"/>
              </w:rPr>
              <w:t xml:space="preserve"> </w:t>
            </w:r>
            <w:r>
              <w:t>and donation</w:t>
            </w:r>
          </w:p>
          <w:p w:rsidR="00FF4375" w:rsidRDefault="00FF4375" w:rsidP="00FF4375">
            <w:pPr>
              <w:pStyle w:val="Tablebulletlevel2"/>
            </w:pPr>
            <w:r>
              <w:t>Engagement and negotiation with</w:t>
            </w:r>
            <w:r>
              <w:rPr>
                <w:spacing w:val="-14"/>
              </w:rPr>
              <w:t xml:space="preserve"> </w:t>
            </w:r>
            <w:r>
              <w:t>donors</w:t>
            </w:r>
          </w:p>
          <w:p w:rsidR="00FF4375" w:rsidRPr="003E6C99" w:rsidRDefault="00FF4375" w:rsidP="00FF4375">
            <w:pPr>
              <w:pStyle w:val="Tablebulletlevel2"/>
            </w:pPr>
            <w:r w:rsidRPr="003E6C99">
              <w:t>Work alongside communities, researchers, partners and other key stakeholders to identify potential collection development opportunities.</w:t>
            </w:r>
          </w:p>
          <w:p w:rsidR="00FF4375" w:rsidRPr="003E6C99" w:rsidRDefault="00FF4375" w:rsidP="003E6C99">
            <w:pPr>
              <w:pStyle w:val="Tablebullet"/>
            </w:pPr>
            <w:r w:rsidRPr="003E6C99">
              <w:t>Contribute to the overall development of the Alexander Turnbull Library collections by</w:t>
            </w:r>
            <w:r w:rsidR="003E6C99" w:rsidRPr="003E6C99">
              <w:t xml:space="preserve"> w</w:t>
            </w:r>
            <w:r w:rsidRPr="003E6C99">
              <w:t>orking on multi-format acquisitions</w:t>
            </w:r>
          </w:p>
          <w:p w:rsidR="00FF4375" w:rsidRDefault="00FF4375" w:rsidP="00FF4375">
            <w:pPr>
              <w:pStyle w:val="Tablebullet"/>
            </w:pPr>
            <w:r>
              <w:t>Undertake research into the collections and disseminate the results in</w:t>
            </w:r>
            <w:r>
              <w:rPr>
                <w:spacing w:val="-29"/>
              </w:rPr>
              <w:t xml:space="preserve"> </w:t>
            </w:r>
            <w:r>
              <w:t>order to alert a wide audience to the richness they contain and the research possibilities inherent in</w:t>
            </w:r>
            <w:r>
              <w:rPr>
                <w:spacing w:val="-16"/>
              </w:rPr>
              <w:t xml:space="preserve"> </w:t>
            </w:r>
            <w:r>
              <w:t>them.</w:t>
            </w:r>
          </w:p>
          <w:p w:rsidR="00FF4375" w:rsidRDefault="00FF4375" w:rsidP="00FF4375">
            <w:pPr>
              <w:pStyle w:val="Tablebullet"/>
            </w:pPr>
            <w:r>
              <w:t>Respond to complex Research</w:t>
            </w:r>
            <w:r>
              <w:rPr>
                <w:spacing w:val="-11"/>
              </w:rPr>
              <w:t xml:space="preserve"> </w:t>
            </w:r>
            <w:r>
              <w:t>enquiries</w:t>
            </w:r>
          </w:p>
          <w:p w:rsidR="00FF4375" w:rsidRDefault="00FF4375" w:rsidP="00FF4375">
            <w:pPr>
              <w:pStyle w:val="Tablebullet"/>
            </w:pPr>
            <w:r>
              <w:t>Contribute to the Library’s digitisation programme by identifying items and collections to be</w:t>
            </w:r>
            <w:r>
              <w:rPr>
                <w:spacing w:val="-19"/>
              </w:rPr>
              <w:t xml:space="preserve"> </w:t>
            </w:r>
            <w:r>
              <w:t>digitised</w:t>
            </w:r>
          </w:p>
          <w:p w:rsidR="00FF4375" w:rsidRDefault="00FF4375" w:rsidP="00FF4375">
            <w:pPr>
              <w:pStyle w:val="Tablebullet"/>
            </w:pPr>
            <w:r>
              <w:t>Work with the Collection Care Team to ensure that the collections are housed and preserved for use by researchers in</w:t>
            </w:r>
            <w:r>
              <w:rPr>
                <w:spacing w:val="-21"/>
              </w:rPr>
              <w:t xml:space="preserve"> </w:t>
            </w:r>
            <w:r>
              <w:t>the future</w:t>
            </w:r>
          </w:p>
          <w:p w:rsidR="00FF4375" w:rsidRDefault="00FF4375" w:rsidP="00FF4375">
            <w:pPr>
              <w:pStyle w:val="Tablebullet"/>
            </w:pPr>
            <w:r>
              <w:t>Work with the Arrangement &amp; Description Team to establish standards and policies for arrangement</w:t>
            </w:r>
            <w:r>
              <w:rPr>
                <w:spacing w:val="-16"/>
              </w:rPr>
              <w:t xml:space="preserve"> </w:t>
            </w:r>
            <w:r>
              <w:t>and description of the collections</w:t>
            </w:r>
          </w:p>
          <w:p w:rsidR="00A54AE6" w:rsidRDefault="00A54AE6" w:rsidP="00FF4375">
            <w:pPr>
              <w:pStyle w:val="Tablebullet"/>
            </w:pPr>
            <w:r>
              <w:t>Work with Legal Deposit to ensure collections incorporate physical and digital published materials where appropriate</w:t>
            </w:r>
          </w:p>
          <w:p w:rsidR="00FF4375" w:rsidRDefault="00FF4375" w:rsidP="00FF4375">
            <w:pPr>
              <w:pStyle w:val="Tablebullet"/>
            </w:pPr>
            <w:r>
              <w:t>Produce regular activity</w:t>
            </w:r>
            <w:r>
              <w:rPr>
                <w:spacing w:val="-11"/>
              </w:rPr>
              <w:t xml:space="preserve"> </w:t>
            </w:r>
            <w:r>
              <w:t>reports</w:t>
            </w:r>
          </w:p>
          <w:p w:rsidR="003D175D" w:rsidRPr="003D175D" w:rsidRDefault="00FF4375" w:rsidP="00FF4375">
            <w:pPr>
              <w:pStyle w:val="Tablebullet"/>
            </w:pPr>
            <w:r>
              <w:t xml:space="preserve">Facilitate Iwi/Māori access to </w:t>
            </w:r>
            <w:proofErr w:type="spellStart"/>
            <w:r>
              <w:t>mātauranga</w:t>
            </w:r>
            <w:proofErr w:type="spellEnd"/>
            <w:r>
              <w:t xml:space="preserve"> Māori</w:t>
            </w:r>
            <w:r>
              <w:rPr>
                <w:spacing w:val="-18"/>
              </w:rPr>
              <w:t xml:space="preserve"> </w:t>
            </w:r>
            <w:r>
              <w:t>by creating pathways to information in the</w:t>
            </w:r>
            <w:r>
              <w:rPr>
                <w:spacing w:val="-26"/>
              </w:rPr>
              <w:t xml:space="preserve"> </w:t>
            </w:r>
            <w:r>
              <w:t>collections</w:t>
            </w:r>
          </w:p>
        </w:tc>
        <w:tc>
          <w:tcPr>
            <w:tcW w:w="3935" w:type="dxa"/>
            <w:tcBorders>
              <w:top w:val="nil"/>
              <w:left w:val="single" w:sz="6" w:space="0" w:color="1F546B" w:themeColor="text2"/>
              <w:bottom w:val="single" w:sz="6" w:space="0" w:color="1F546B" w:themeColor="text2"/>
              <w:right w:val="nil"/>
            </w:tcBorders>
          </w:tcPr>
          <w:p w:rsidR="00FF4375" w:rsidRDefault="00FF4375" w:rsidP="00FF4375">
            <w:pPr>
              <w:pStyle w:val="Tablebullet"/>
            </w:pPr>
            <w:r>
              <w:t>Collections that grows</w:t>
            </w:r>
            <w:r>
              <w:rPr>
                <w:spacing w:val="-15"/>
              </w:rPr>
              <w:t xml:space="preserve"> </w:t>
            </w:r>
            <w:r>
              <w:t>in accordance with robust and transparent collecting plans, are relevant to the needs of researchers, responsive to changing priorities, and reflective of all sectors of the community.</w:t>
            </w:r>
          </w:p>
          <w:p w:rsidR="00FF4375" w:rsidRDefault="00FF4375" w:rsidP="00FF4375">
            <w:pPr>
              <w:pStyle w:val="Tablebullet"/>
            </w:pPr>
            <w:r>
              <w:t>New Zealand communities and people see their stories and histories reflected in the collections of the Alexander Turnbull Library</w:t>
            </w:r>
          </w:p>
          <w:p w:rsidR="00FF4375" w:rsidRDefault="00FF4375" w:rsidP="00FF4375">
            <w:pPr>
              <w:pStyle w:val="Tablebullet"/>
            </w:pPr>
            <w:r>
              <w:t>The Alexander Turnbull Library is seen as a trusted repository for New</w:t>
            </w:r>
            <w:r>
              <w:rPr>
                <w:spacing w:val="-14"/>
              </w:rPr>
              <w:t xml:space="preserve"> </w:t>
            </w:r>
            <w:r>
              <w:t>Zealand and Pacific material</w:t>
            </w:r>
          </w:p>
          <w:p w:rsidR="00FF4375" w:rsidRDefault="00FF4375" w:rsidP="00FF4375">
            <w:pPr>
              <w:pStyle w:val="Tablebullet"/>
            </w:pPr>
            <w:r>
              <w:t>Strong relationships with individuals, community groups, organisations and other Library stakeholders</w:t>
            </w:r>
          </w:p>
          <w:p w:rsidR="003D175D" w:rsidRPr="003D175D" w:rsidRDefault="00FF4375" w:rsidP="00FF4375">
            <w:pPr>
              <w:pStyle w:val="Tablebullet"/>
            </w:pPr>
            <w:r>
              <w:t>Researchers are informed about our collections; encouraged to consult them; and are easily able to access and use</w:t>
            </w:r>
            <w:r>
              <w:rPr>
                <w:spacing w:val="-5"/>
              </w:rPr>
              <w:t xml:space="preserve"> </w:t>
            </w:r>
            <w:r>
              <w:t>them</w:t>
            </w: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FF4375" w:rsidRDefault="00FF4375" w:rsidP="00FF4375">
            <w:pPr>
              <w:pStyle w:val="TableParagraph"/>
              <w:spacing w:before="38"/>
              <w:ind w:left="100" w:right="238"/>
              <w:rPr>
                <w:b/>
                <w:sz w:val="24"/>
              </w:rPr>
            </w:pPr>
            <w:r>
              <w:rPr>
                <w:b/>
                <w:sz w:val="24"/>
              </w:rPr>
              <w:lastRenderedPageBreak/>
              <w:t>People Leadership</w:t>
            </w:r>
          </w:p>
          <w:p w:rsidR="00FF4375" w:rsidRDefault="00FF4375" w:rsidP="00FF4375">
            <w:pPr>
              <w:pStyle w:val="TableParagraph"/>
              <w:numPr>
                <w:ilvl w:val="0"/>
                <w:numId w:val="39"/>
              </w:numPr>
              <w:tabs>
                <w:tab w:val="left" w:pos="458"/>
                <w:tab w:val="left" w:pos="459"/>
              </w:tabs>
              <w:spacing w:before="49"/>
              <w:ind w:right="474" w:hanging="358"/>
              <w:rPr>
                <w:sz w:val="24"/>
              </w:rPr>
            </w:pPr>
            <w:r>
              <w:rPr>
                <w:sz w:val="24"/>
              </w:rPr>
              <w:t>Provide leadership that inspires others to</w:t>
            </w:r>
            <w:r>
              <w:rPr>
                <w:spacing w:val="-25"/>
                <w:sz w:val="24"/>
              </w:rPr>
              <w:t xml:space="preserve"> </w:t>
            </w:r>
            <w:r>
              <w:rPr>
                <w:sz w:val="24"/>
              </w:rPr>
              <w:t>succeed and develop, and proactively share experience, knowledge and</w:t>
            </w:r>
            <w:r>
              <w:rPr>
                <w:spacing w:val="-7"/>
                <w:sz w:val="24"/>
              </w:rPr>
              <w:t xml:space="preserve"> </w:t>
            </w:r>
            <w:r>
              <w:rPr>
                <w:sz w:val="24"/>
              </w:rPr>
              <w:t>ideas</w:t>
            </w:r>
          </w:p>
          <w:p w:rsidR="003D175D" w:rsidRPr="00FF4375" w:rsidRDefault="00FF4375" w:rsidP="00FF4375">
            <w:pPr>
              <w:pStyle w:val="Tablenormal0"/>
              <w:numPr>
                <w:ilvl w:val="0"/>
                <w:numId w:val="39"/>
              </w:numPr>
              <w:rPr>
                <w:b/>
                <w:bCs/>
              </w:rPr>
            </w:pPr>
            <w:r>
              <w:t>Model behaviours that encourage whole-of- organisation collaboration and learning for the purpose of increasing synergies and maximising effectiveness</w:t>
            </w:r>
          </w:p>
        </w:tc>
        <w:tc>
          <w:tcPr>
            <w:tcW w:w="3935" w:type="dxa"/>
            <w:tcBorders>
              <w:top w:val="nil"/>
              <w:left w:val="single" w:sz="6" w:space="0" w:color="1F546B" w:themeColor="text2"/>
              <w:bottom w:val="single" w:sz="6" w:space="0" w:color="1F546B" w:themeColor="text2"/>
              <w:right w:val="nil"/>
            </w:tcBorders>
          </w:tcPr>
          <w:p w:rsidR="00FF4375" w:rsidRPr="00FB41E4" w:rsidRDefault="00FF4375" w:rsidP="00FF4375">
            <w:pPr>
              <w:pStyle w:val="TableParagraph"/>
              <w:numPr>
                <w:ilvl w:val="0"/>
                <w:numId w:val="39"/>
              </w:numPr>
              <w:tabs>
                <w:tab w:val="left" w:pos="458"/>
                <w:tab w:val="left" w:pos="459"/>
              </w:tabs>
              <w:spacing w:before="39" w:line="290" w:lineRule="exact"/>
              <w:ind w:right="272"/>
              <w:rPr>
                <w:sz w:val="24"/>
              </w:rPr>
            </w:pPr>
            <w:r>
              <w:rPr>
                <w:sz w:val="24"/>
              </w:rPr>
              <w:t>Performance development plans are in place; a</w:t>
            </w:r>
            <w:r w:rsidRPr="00FB41E4">
              <w:rPr>
                <w:sz w:val="24"/>
              </w:rPr>
              <w:t>nnual and 6 monthly performance reviews are complete</w:t>
            </w:r>
            <w:r w:rsidR="00EA6B1E">
              <w:rPr>
                <w:sz w:val="24"/>
              </w:rPr>
              <w:t>; direct reports have achievable workplans, with opportunities for growth and development.</w:t>
            </w:r>
          </w:p>
          <w:p w:rsidR="003D175D" w:rsidRDefault="00FF4375" w:rsidP="00FF4375">
            <w:pPr>
              <w:pStyle w:val="Tablebullet"/>
              <w:numPr>
                <w:ilvl w:val="0"/>
                <w:numId w:val="39"/>
              </w:numPr>
            </w:pPr>
            <w:r>
              <w:t>Effective and collaborative programmes of work that contribute to the Library’s strategic directions</w:t>
            </w:r>
          </w:p>
          <w:p w:rsidR="00FF4375" w:rsidRPr="00FF4375" w:rsidRDefault="00FF4375" w:rsidP="00FF4375">
            <w:pPr>
              <w:pStyle w:val="TableParagraph"/>
              <w:numPr>
                <w:ilvl w:val="0"/>
                <w:numId w:val="39"/>
              </w:numPr>
              <w:tabs>
                <w:tab w:val="left" w:pos="458"/>
                <w:tab w:val="left" w:pos="459"/>
              </w:tabs>
              <w:spacing w:before="49"/>
              <w:ind w:right="330"/>
              <w:rPr>
                <w:sz w:val="24"/>
              </w:rPr>
            </w:pPr>
            <w:r>
              <w:rPr>
                <w:sz w:val="24"/>
              </w:rPr>
              <w:t>Performance issues with direct reports dealt with as they arise, actions to remedy issues agreed and</w:t>
            </w:r>
            <w:r>
              <w:rPr>
                <w:spacing w:val="-6"/>
                <w:sz w:val="24"/>
              </w:rPr>
              <w:t xml:space="preserve"> </w:t>
            </w:r>
            <w:r>
              <w:rPr>
                <w:sz w:val="24"/>
              </w:rPr>
              <w:t>monitored</w:t>
            </w:r>
          </w:p>
        </w:tc>
      </w:tr>
      <w:tr w:rsidR="00EA6B1E" w:rsidRPr="003D175D" w:rsidTr="003D175D">
        <w:trPr>
          <w:cantSplit/>
        </w:trPr>
        <w:tc>
          <w:tcPr>
            <w:tcW w:w="5812" w:type="dxa"/>
            <w:tcBorders>
              <w:top w:val="nil"/>
              <w:left w:val="nil"/>
              <w:bottom w:val="single" w:sz="6" w:space="0" w:color="1F546B" w:themeColor="text2"/>
              <w:right w:val="single" w:sz="6" w:space="0" w:color="1F546B" w:themeColor="text2"/>
            </w:tcBorders>
          </w:tcPr>
          <w:p w:rsidR="00EA6B1E" w:rsidRDefault="00EA6B1E" w:rsidP="00EA6B1E">
            <w:pPr>
              <w:pStyle w:val="TableParagraph"/>
              <w:spacing w:before="38"/>
              <w:ind w:left="100" w:right="238"/>
              <w:rPr>
                <w:b/>
                <w:sz w:val="24"/>
              </w:rPr>
            </w:pPr>
            <w:r>
              <w:rPr>
                <w:b/>
                <w:sz w:val="24"/>
              </w:rPr>
              <w:t>Subject Matter Expert</w:t>
            </w:r>
          </w:p>
          <w:p w:rsidR="00EA6B1E" w:rsidRDefault="00EA6B1E" w:rsidP="00EA6B1E">
            <w:pPr>
              <w:pStyle w:val="TableParagraph"/>
              <w:numPr>
                <w:ilvl w:val="0"/>
                <w:numId w:val="41"/>
              </w:numPr>
              <w:tabs>
                <w:tab w:val="left" w:pos="458"/>
                <w:tab w:val="left" w:pos="459"/>
              </w:tabs>
              <w:spacing w:before="39" w:line="290" w:lineRule="exact"/>
              <w:ind w:right="275" w:hanging="358"/>
              <w:rPr>
                <w:sz w:val="24"/>
              </w:rPr>
            </w:pPr>
            <w:r>
              <w:rPr>
                <w:sz w:val="24"/>
              </w:rPr>
              <w:t xml:space="preserve">Undertake a variety of Outreach activities, including lecturing, </w:t>
            </w:r>
            <w:proofErr w:type="spellStart"/>
            <w:r>
              <w:rPr>
                <w:sz w:val="24"/>
              </w:rPr>
              <w:t>organising</w:t>
            </w:r>
            <w:proofErr w:type="spellEnd"/>
            <w:r>
              <w:rPr>
                <w:sz w:val="24"/>
              </w:rPr>
              <w:t xml:space="preserve"> seminars and</w:t>
            </w:r>
            <w:r>
              <w:rPr>
                <w:spacing w:val="-20"/>
                <w:sz w:val="24"/>
              </w:rPr>
              <w:t xml:space="preserve"> </w:t>
            </w:r>
            <w:r>
              <w:rPr>
                <w:sz w:val="24"/>
              </w:rPr>
              <w:t>publishing</w:t>
            </w:r>
          </w:p>
          <w:p w:rsidR="00EA6B1E" w:rsidRDefault="00EA6B1E" w:rsidP="00EA6B1E">
            <w:pPr>
              <w:pStyle w:val="TableParagraph"/>
              <w:numPr>
                <w:ilvl w:val="0"/>
                <w:numId w:val="41"/>
              </w:numPr>
              <w:tabs>
                <w:tab w:val="left" w:pos="458"/>
                <w:tab w:val="left" w:pos="459"/>
              </w:tabs>
              <w:spacing w:before="46" w:line="290" w:lineRule="exact"/>
              <w:ind w:right="476" w:hanging="358"/>
              <w:rPr>
                <w:sz w:val="24"/>
              </w:rPr>
            </w:pPr>
            <w:r>
              <w:rPr>
                <w:sz w:val="24"/>
              </w:rPr>
              <w:t>Support Gallery and Public Engagement activities, including developing exhibition</w:t>
            </w:r>
            <w:r>
              <w:rPr>
                <w:spacing w:val="-21"/>
                <w:sz w:val="24"/>
              </w:rPr>
              <w:t xml:space="preserve"> </w:t>
            </w:r>
            <w:r>
              <w:rPr>
                <w:sz w:val="24"/>
              </w:rPr>
              <w:t>proposals</w:t>
            </w:r>
          </w:p>
          <w:p w:rsidR="00EA6B1E" w:rsidRDefault="00EA6B1E" w:rsidP="00EA6B1E">
            <w:pPr>
              <w:pStyle w:val="TableParagraph"/>
              <w:numPr>
                <w:ilvl w:val="0"/>
                <w:numId w:val="41"/>
              </w:numPr>
              <w:tabs>
                <w:tab w:val="left" w:pos="458"/>
                <w:tab w:val="left" w:pos="459"/>
              </w:tabs>
              <w:spacing w:before="47"/>
              <w:ind w:right="783" w:hanging="358"/>
              <w:rPr>
                <w:sz w:val="24"/>
              </w:rPr>
            </w:pPr>
            <w:r>
              <w:rPr>
                <w:sz w:val="24"/>
              </w:rPr>
              <w:t>Act as an expert adviser on requests for</w:t>
            </w:r>
            <w:r>
              <w:rPr>
                <w:spacing w:val="-17"/>
                <w:sz w:val="24"/>
              </w:rPr>
              <w:t xml:space="preserve"> </w:t>
            </w:r>
            <w:r>
              <w:rPr>
                <w:sz w:val="24"/>
              </w:rPr>
              <w:t>export applications for documentary heritage</w:t>
            </w:r>
            <w:r>
              <w:rPr>
                <w:spacing w:val="-18"/>
                <w:sz w:val="24"/>
              </w:rPr>
              <w:t xml:space="preserve"> </w:t>
            </w:r>
            <w:r>
              <w:rPr>
                <w:sz w:val="24"/>
              </w:rPr>
              <w:t>items</w:t>
            </w:r>
          </w:p>
          <w:p w:rsidR="00EA6B1E" w:rsidRDefault="00EA6B1E" w:rsidP="00EA6B1E">
            <w:pPr>
              <w:pStyle w:val="TableParagraph"/>
              <w:numPr>
                <w:ilvl w:val="0"/>
                <w:numId w:val="41"/>
              </w:numPr>
              <w:tabs>
                <w:tab w:val="left" w:pos="458"/>
                <w:tab w:val="left" w:pos="459"/>
              </w:tabs>
              <w:spacing w:before="37" w:line="290" w:lineRule="exact"/>
              <w:ind w:right="208" w:hanging="358"/>
              <w:rPr>
                <w:sz w:val="24"/>
              </w:rPr>
            </w:pPr>
            <w:r>
              <w:rPr>
                <w:sz w:val="24"/>
              </w:rPr>
              <w:t>Communicate and consult efficiently across ATL, and with other parts of the</w:t>
            </w:r>
            <w:r>
              <w:rPr>
                <w:spacing w:val="-14"/>
                <w:sz w:val="24"/>
              </w:rPr>
              <w:t xml:space="preserve"> </w:t>
            </w:r>
            <w:r>
              <w:rPr>
                <w:sz w:val="24"/>
              </w:rPr>
              <w:t>Library</w:t>
            </w:r>
          </w:p>
          <w:p w:rsidR="00EA6B1E" w:rsidRDefault="00EA6B1E" w:rsidP="00EA6B1E">
            <w:pPr>
              <w:pStyle w:val="TableParagraph"/>
              <w:numPr>
                <w:ilvl w:val="0"/>
                <w:numId w:val="41"/>
              </w:numPr>
              <w:tabs>
                <w:tab w:val="left" w:pos="458"/>
                <w:tab w:val="left" w:pos="459"/>
              </w:tabs>
              <w:spacing w:before="46" w:line="290" w:lineRule="exact"/>
              <w:ind w:right="193" w:hanging="358"/>
              <w:rPr>
                <w:sz w:val="24"/>
              </w:rPr>
            </w:pPr>
            <w:r>
              <w:rPr>
                <w:sz w:val="24"/>
              </w:rPr>
              <w:t>Formulate and manage projects to be undertaken by the Library’s volunteer and internship</w:t>
            </w:r>
            <w:r>
              <w:rPr>
                <w:spacing w:val="-23"/>
                <w:sz w:val="24"/>
              </w:rPr>
              <w:t xml:space="preserve"> </w:t>
            </w:r>
            <w:proofErr w:type="spellStart"/>
            <w:r>
              <w:rPr>
                <w:sz w:val="24"/>
              </w:rPr>
              <w:t>programme</w:t>
            </w:r>
            <w:proofErr w:type="spellEnd"/>
          </w:p>
          <w:p w:rsidR="00EA6B1E" w:rsidRDefault="00EA6B1E" w:rsidP="00EA6B1E">
            <w:pPr>
              <w:pStyle w:val="TableParagraph"/>
              <w:numPr>
                <w:ilvl w:val="0"/>
                <w:numId w:val="41"/>
              </w:numPr>
              <w:tabs>
                <w:tab w:val="left" w:pos="458"/>
                <w:tab w:val="left" w:pos="459"/>
              </w:tabs>
              <w:spacing w:before="49"/>
              <w:ind w:right="306" w:hanging="358"/>
              <w:rPr>
                <w:sz w:val="24"/>
              </w:rPr>
            </w:pPr>
            <w:r>
              <w:rPr>
                <w:sz w:val="24"/>
              </w:rPr>
              <w:t>Liaise, as appropriate, with other cultural bodies, to build a community of expertise and ensure the preservation and accessibility of New Zealand’s documentary</w:t>
            </w:r>
            <w:r>
              <w:rPr>
                <w:spacing w:val="-7"/>
                <w:sz w:val="24"/>
              </w:rPr>
              <w:t xml:space="preserve"> </w:t>
            </w:r>
            <w:r>
              <w:rPr>
                <w:sz w:val="24"/>
              </w:rPr>
              <w:t>heritage</w:t>
            </w:r>
          </w:p>
          <w:p w:rsidR="00EA6B1E" w:rsidRDefault="00EA6B1E" w:rsidP="00EA6B1E">
            <w:pPr>
              <w:pStyle w:val="TableParagraph"/>
              <w:numPr>
                <w:ilvl w:val="0"/>
                <w:numId w:val="41"/>
              </w:numPr>
              <w:tabs>
                <w:tab w:val="left" w:pos="458"/>
                <w:tab w:val="left" w:pos="459"/>
              </w:tabs>
              <w:spacing w:before="43"/>
              <w:ind w:right="335" w:hanging="358"/>
              <w:rPr>
                <w:sz w:val="24"/>
              </w:rPr>
            </w:pPr>
            <w:r>
              <w:rPr>
                <w:sz w:val="24"/>
              </w:rPr>
              <w:t>Lead and participate in appropriate working groups to further cross-departmental and cross-sector initiatives</w:t>
            </w:r>
          </w:p>
          <w:p w:rsidR="00EA6B1E" w:rsidRDefault="00EA6B1E" w:rsidP="00EA6B1E">
            <w:pPr>
              <w:pStyle w:val="TableParagraph"/>
              <w:numPr>
                <w:ilvl w:val="0"/>
                <w:numId w:val="41"/>
              </w:numPr>
              <w:tabs>
                <w:tab w:val="left" w:pos="458"/>
                <w:tab w:val="left" w:pos="459"/>
              </w:tabs>
              <w:spacing w:before="43"/>
              <w:ind w:right="174" w:hanging="358"/>
              <w:rPr>
                <w:sz w:val="24"/>
              </w:rPr>
            </w:pPr>
            <w:r>
              <w:rPr>
                <w:sz w:val="24"/>
              </w:rPr>
              <w:t>Respond to research enquiries as part of rostered team in the Library’s reading room. This may involve occasional weekend</w:t>
            </w:r>
            <w:r>
              <w:rPr>
                <w:spacing w:val="-9"/>
                <w:sz w:val="24"/>
              </w:rPr>
              <w:t xml:space="preserve"> </w:t>
            </w:r>
            <w:r>
              <w:rPr>
                <w:sz w:val="24"/>
              </w:rPr>
              <w:t>work</w:t>
            </w:r>
          </w:p>
        </w:tc>
        <w:tc>
          <w:tcPr>
            <w:tcW w:w="3935" w:type="dxa"/>
            <w:tcBorders>
              <w:top w:val="nil"/>
              <w:left w:val="single" w:sz="6" w:space="0" w:color="1F546B" w:themeColor="text2"/>
              <w:bottom w:val="single" w:sz="6" w:space="0" w:color="1F546B" w:themeColor="text2"/>
              <w:right w:val="nil"/>
            </w:tcBorders>
          </w:tcPr>
          <w:p w:rsidR="00EA6B1E" w:rsidRDefault="00EA6B1E" w:rsidP="00EA6B1E">
            <w:pPr>
              <w:pStyle w:val="TableParagraph"/>
              <w:numPr>
                <w:ilvl w:val="0"/>
                <w:numId w:val="41"/>
              </w:numPr>
              <w:tabs>
                <w:tab w:val="left" w:pos="820"/>
                <w:tab w:val="left" w:pos="821"/>
              </w:tabs>
              <w:spacing w:before="0"/>
              <w:ind w:right="382"/>
              <w:rPr>
                <w:sz w:val="24"/>
              </w:rPr>
            </w:pPr>
            <w:r>
              <w:rPr>
                <w:sz w:val="24"/>
              </w:rPr>
              <w:t>The Alexander Turnbull Library is seen as a thought leader in the GLAM sector</w:t>
            </w:r>
          </w:p>
          <w:p w:rsidR="00EA6B1E" w:rsidRDefault="00EA6B1E" w:rsidP="00EA6B1E">
            <w:pPr>
              <w:pStyle w:val="TableParagraph"/>
              <w:numPr>
                <w:ilvl w:val="0"/>
                <w:numId w:val="41"/>
              </w:numPr>
              <w:tabs>
                <w:tab w:val="left" w:pos="820"/>
                <w:tab w:val="left" w:pos="821"/>
              </w:tabs>
              <w:spacing w:before="42"/>
              <w:ind w:right="329"/>
              <w:rPr>
                <w:sz w:val="24"/>
              </w:rPr>
            </w:pPr>
            <w:r>
              <w:rPr>
                <w:sz w:val="24"/>
              </w:rPr>
              <w:t>Subject matter knowledge is shared with other staff and the</w:t>
            </w:r>
            <w:r>
              <w:rPr>
                <w:spacing w:val="-4"/>
                <w:sz w:val="24"/>
              </w:rPr>
              <w:t xml:space="preserve"> </w:t>
            </w:r>
            <w:r>
              <w:rPr>
                <w:sz w:val="24"/>
              </w:rPr>
              <w:t>public</w:t>
            </w:r>
          </w:p>
          <w:p w:rsidR="00EA6B1E" w:rsidRDefault="00EA6B1E" w:rsidP="00EA6B1E">
            <w:pPr>
              <w:pStyle w:val="TableParagraph"/>
              <w:numPr>
                <w:ilvl w:val="0"/>
                <w:numId w:val="41"/>
              </w:numPr>
              <w:tabs>
                <w:tab w:val="left" w:pos="820"/>
                <w:tab w:val="left" w:pos="821"/>
              </w:tabs>
              <w:spacing w:before="42"/>
              <w:ind w:right="296"/>
              <w:rPr>
                <w:sz w:val="24"/>
              </w:rPr>
            </w:pPr>
            <w:r>
              <w:rPr>
                <w:sz w:val="24"/>
              </w:rPr>
              <w:t>Library and Government policy is carried out</w:t>
            </w:r>
            <w:r>
              <w:rPr>
                <w:spacing w:val="-3"/>
                <w:sz w:val="24"/>
              </w:rPr>
              <w:t xml:space="preserve"> </w:t>
            </w:r>
            <w:r>
              <w:rPr>
                <w:sz w:val="24"/>
              </w:rPr>
              <w:t>efficiently</w:t>
            </w:r>
          </w:p>
          <w:p w:rsidR="00EA6B1E" w:rsidRDefault="00EA6B1E" w:rsidP="00EA6B1E">
            <w:pPr>
              <w:pStyle w:val="TableParagraph"/>
              <w:numPr>
                <w:ilvl w:val="0"/>
                <w:numId w:val="41"/>
              </w:numPr>
              <w:tabs>
                <w:tab w:val="left" w:pos="820"/>
                <w:tab w:val="left" w:pos="821"/>
              </w:tabs>
              <w:spacing w:before="42"/>
              <w:ind w:right="296"/>
              <w:rPr>
                <w:sz w:val="24"/>
              </w:rPr>
            </w:pPr>
            <w:r>
              <w:rPr>
                <w:sz w:val="24"/>
              </w:rPr>
              <w:t>Curatorial knowledge is shared collaboratively to grow and empower other Library staff, GLAM sector colleagues, and the public.</w:t>
            </w:r>
          </w:p>
          <w:p w:rsidR="00EA6B1E" w:rsidRPr="003D175D" w:rsidRDefault="00EA6B1E" w:rsidP="00EA6B1E">
            <w:pPr>
              <w:pStyle w:val="Tablebullet"/>
              <w:numPr>
                <w:ilvl w:val="0"/>
                <w:numId w:val="41"/>
              </w:numPr>
            </w:pPr>
            <w:r>
              <w:t>The value of New Zealand’s documentary heritage is articulated effectively; protected against loss and</w:t>
            </w:r>
            <w:r>
              <w:rPr>
                <w:spacing w:val="-3"/>
              </w:rPr>
              <w:t xml:space="preserve"> </w:t>
            </w:r>
            <w:r>
              <w:t>damage; and promoted across New Zealand and internationally.</w:t>
            </w:r>
          </w:p>
        </w:tc>
      </w:tr>
      <w:tr w:rsidR="00C65830" w:rsidRPr="003D175D" w:rsidTr="003D175D">
        <w:trPr>
          <w:cantSplit/>
        </w:trPr>
        <w:tc>
          <w:tcPr>
            <w:tcW w:w="5812" w:type="dxa"/>
            <w:tcBorders>
              <w:top w:val="nil"/>
              <w:left w:val="nil"/>
              <w:bottom w:val="single" w:sz="6" w:space="0" w:color="1F546B" w:themeColor="text2"/>
              <w:right w:val="single" w:sz="6" w:space="0" w:color="1F546B" w:themeColor="text2"/>
            </w:tcBorders>
          </w:tcPr>
          <w:p w:rsidR="00C65830" w:rsidRDefault="00C65830" w:rsidP="00C65830">
            <w:pPr>
              <w:pStyle w:val="TableParagraph"/>
              <w:spacing w:before="40"/>
              <w:ind w:left="100" w:right="238"/>
              <w:rPr>
                <w:b/>
                <w:sz w:val="24"/>
              </w:rPr>
            </w:pPr>
            <w:r>
              <w:rPr>
                <w:b/>
                <w:sz w:val="24"/>
              </w:rPr>
              <w:lastRenderedPageBreak/>
              <w:t>Capability and Partnership</w:t>
            </w:r>
          </w:p>
          <w:p w:rsidR="00C65830" w:rsidRDefault="00C65830" w:rsidP="00C65830">
            <w:pPr>
              <w:pStyle w:val="TableParagraph"/>
              <w:numPr>
                <w:ilvl w:val="0"/>
                <w:numId w:val="43"/>
              </w:numPr>
              <w:tabs>
                <w:tab w:val="left" w:pos="458"/>
                <w:tab w:val="left" w:pos="459"/>
              </w:tabs>
              <w:spacing w:before="40"/>
              <w:ind w:right="129"/>
              <w:rPr>
                <w:sz w:val="24"/>
              </w:rPr>
            </w:pPr>
            <w:r>
              <w:rPr>
                <w:sz w:val="24"/>
              </w:rPr>
              <w:t xml:space="preserve">Continually develop a working understanding of </w:t>
            </w:r>
            <w:proofErr w:type="spellStart"/>
            <w:r>
              <w:rPr>
                <w:sz w:val="24"/>
              </w:rPr>
              <w:t>matauranga</w:t>
            </w:r>
            <w:proofErr w:type="spellEnd"/>
            <w:r>
              <w:rPr>
                <w:sz w:val="24"/>
              </w:rPr>
              <w:t xml:space="preserve"> Māori as it applies to the </w:t>
            </w:r>
            <w:proofErr w:type="spellStart"/>
            <w:r>
              <w:rPr>
                <w:sz w:val="24"/>
              </w:rPr>
              <w:t>kaitiakitanga</w:t>
            </w:r>
            <w:proofErr w:type="spellEnd"/>
            <w:r>
              <w:rPr>
                <w:spacing w:val="-18"/>
                <w:sz w:val="24"/>
              </w:rPr>
              <w:t xml:space="preserve"> </w:t>
            </w:r>
            <w:r>
              <w:rPr>
                <w:sz w:val="24"/>
              </w:rPr>
              <w:t>of the ATL collections, and their status as documentary heritage and</w:t>
            </w:r>
            <w:r>
              <w:rPr>
                <w:spacing w:val="-7"/>
                <w:sz w:val="24"/>
              </w:rPr>
              <w:t xml:space="preserve"> </w:t>
            </w:r>
            <w:r>
              <w:rPr>
                <w:sz w:val="24"/>
              </w:rPr>
              <w:t>taonga</w:t>
            </w:r>
          </w:p>
          <w:p w:rsidR="00C65830" w:rsidRDefault="00C65830" w:rsidP="00C65830">
            <w:pPr>
              <w:pStyle w:val="TableParagraph"/>
              <w:numPr>
                <w:ilvl w:val="0"/>
                <w:numId w:val="43"/>
              </w:numPr>
              <w:tabs>
                <w:tab w:val="left" w:pos="458"/>
                <w:tab w:val="left" w:pos="459"/>
              </w:tabs>
              <w:spacing w:before="39" w:line="290" w:lineRule="exact"/>
              <w:ind w:right="287"/>
              <w:rPr>
                <w:sz w:val="24"/>
              </w:rPr>
            </w:pPr>
            <w:r>
              <w:rPr>
                <w:sz w:val="24"/>
              </w:rPr>
              <w:t>Continually review the capability needed to</w:t>
            </w:r>
            <w:r>
              <w:rPr>
                <w:spacing w:val="-23"/>
                <w:sz w:val="24"/>
              </w:rPr>
              <w:t xml:space="preserve"> </w:t>
            </w:r>
            <w:r>
              <w:rPr>
                <w:sz w:val="24"/>
              </w:rPr>
              <w:t xml:space="preserve">support the </w:t>
            </w:r>
            <w:proofErr w:type="spellStart"/>
            <w:r>
              <w:rPr>
                <w:sz w:val="24"/>
              </w:rPr>
              <w:t>organisation</w:t>
            </w:r>
            <w:proofErr w:type="spellEnd"/>
            <w:r>
              <w:rPr>
                <w:sz w:val="24"/>
              </w:rPr>
              <w:t xml:space="preserve"> in delivering on</w:t>
            </w:r>
            <w:r>
              <w:rPr>
                <w:spacing w:val="-13"/>
                <w:sz w:val="24"/>
              </w:rPr>
              <w:t xml:space="preserve"> </w:t>
            </w:r>
            <w:r>
              <w:rPr>
                <w:sz w:val="24"/>
              </w:rPr>
              <w:t>outcomes.</w:t>
            </w:r>
          </w:p>
          <w:p w:rsidR="00C65830" w:rsidRDefault="00C65830" w:rsidP="00C65830">
            <w:pPr>
              <w:pStyle w:val="TableParagraph"/>
              <w:numPr>
                <w:ilvl w:val="0"/>
                <w:numId w:val="43"/>
              </w:numPr>
              <w:tabs>
                <w:tab w:val="left" w:pos="458"/>
                <w:tab w:val="left" w:pos="459"/>
              </w:tabs>
              <w:spacing w:before="40"/>
              <w:ind w:right="395"/>
              <w:rPr>
                <w:sz w:val="24"/>
              </w:rPr>
            </w:pPr>
            <w:r>
              <w:rPr>
                <w:sz w:val="24"/>
              </w:rPr>
              <w:t>Engage effectively with others in a way that ensures that the needs of internal clients, the research community, and external agencies are understood and</w:t>
            </w:r>
            <w:r>
              <w:rPr>
                <w:spacing w:val="-7"/>
                <w:sz w:val="24"/>
              </w:rPr>
              <w:t xml:space="preserve"> </w:t>
            </w:r>
            <w:r>
              <w:rPr>
                <w:sz w:val="24"/>
              </w:rPr>
              <w:t>met</w:t>
            </w:r>
          </w:p>
          <w:p w:rsidR="00C65830" w:rsidRDefault="00C65830" w:rsidP="00C65830">
            <w:pPr>
              <w:pStyle w:val="TableParagraph"/>
              <w:numPr>
                <w:ilvl w:val="0"/>
                <w:numId w:val="43"/>
              </w:numPr>
              <w:tabs>
                <w:tab w:val="left" w:pos="458"/>
                <w:tab w:val="left" w:pos="459"/>
              </w:tabs>
              <w:spacing w:before="39" w:line="290" w:lineRule="exact"/>
              <w:ind w:right="287"/>
              <w:rPr>
                <w:sz w:val="24"/>
              </w:rPr>
            </w:pPr>
            <w:r>
              <w:rPr>
                <w:sz w:val="24"/>
                <w:szCs w:val="24"/>
              </w:rPr>
              <w:t xml:space="preserve">Demonstrate and embody </w:t>
            </w:r>
            <w:r w:rsidRPr="009E5604">
              <w:rPr>
                <w:sz w:val="24"/>
                <w:szCs w:val="24"/>
              </w:rPr>
              <w:t xml:space="preserve">our privileged role and responsibility of holding and protecting the Treaty of Waitangi / Te </w:t>
            </w:r>
            <w:proofErr w:type="spellStart"/>
            <w:r w:rsidRPr="009E5604">
              <w:rPr>
                <w:sz w:val="24"/>
                <w:szCs w:val="24"/>
              </w:rPr>
              <w:t>Tiriti</w:t>
            </w:r>
            <w:proofErr w:type="spellEnd"/>
            <w:r w:rsidRPr="009E5604">
              <w:rPr>
                <w:sz w:val="24"/>
                <w:szCs w:val="24"/>
              </w:rPr>
              <w:t xml:space="preserve"> o Waitangi</w:t>
            </w:r>
            <w:r>
              <w:rPr>
                <w:sz w:val="24"/>
                <w:szCs w:val="24"/>
              </w:rPr>
              <w:t xml:space="preserve">  </w:t>
            </w:r>
          </w:p>
        </w:tc>
        <w:tc>
          <w:tcPr>
            <w:tcW w:w="3935" w:type="dxa"/>
            <w:tcBorders>
              <w:top w:val="nil"/>
              <w:left w:val="single" w:sz="6" w:space="0" w:color="1F546B" w:themeColor="text2"/>
              <w:bottom w:val="single" w:sz="6" w:space="0" w:color="1F546B" w:themeColor="text2"/>
              <w:right w:val="nil"/>
            </w:tcBorders>
          </w:tcPr>
          <w:p w:rsidR="00C65830" w:rsidRDefault="00C65830" w:rsidP="00C65830">
            <w:pPr>
              <w:pStyle w:val="TableParagraph"/>
              <w:numPr>
                <w:ilvl w:val="0"/>
                <w:numId w:val="42"/>
              </w:numPr>
              <w:tabs>
                <w:tab w:val="left" w:pos="458"/>
                <w:tab w:val="left" w:pos="459"/>
              </w:tabs>
              <w:spacing w:before="65"/>
              <w:ind w:right="165"/>
              <w:rPr>
                <w:sz w:val="24"/>
              </w:rPr>
            </w:pPr>
            <w:r>
              <w:rPr>
                <w:sz w:val="24"/>
              </w:rPr>
              <w:t>Action taken to address identified capability gaps within their curatorial area, specifically in support of collection development, arrangement &amp; description, research enquiries, and outreach.</w:t>
            </w:r>
          </w:p>
          <w:p w:rsidR="00C65830" w:rsidRPr="00C65830" w:rsidRDefault="00C65830" w:rsidP="00C65830">
            <w:pPr>
              <w:pStyle w:val="TableParagraph"/>
              <w:numPr>
                <w:ilvl w:val="0"/>
                <w:numId w:val="42"/>
              </w:numPr>
              <w:tabs>
                <w:tab w:val="left" w:pos="458"/>
                <w:tab w:val="left" w:pos="459"/>
              </w:tabs>
              <w:spacing w:before="0"/>
              <w:ind w:right="588"/>
              <w:rPr>
                <w:rFonts w:asciiTheme="minorHAnsi" w:hAnsiTheme="minorHAnsi" w:cstheme="minorHAnsi"/>
                <w:sz w:val="24"/>
                <w:szCs w:val="24"/>
              </w:rPr>
            </w:pPr>
            <w:r>
              <w:rPr>
                <w:sz w:val="24"/>
              </w:rPr>
              <w:t xml:space="preserve">Priorities are identified, and engagement strategies are </w:t>
            </w:r>
            <w:r w:rsidRPr="009E5604">
              <w:rPr>
                <w:rFonts w:asciiTheme="minorHAnsi" w:hAnsiTheme="minorHAnsi" w:cstheme="minorHAnsi"/>
                <w:sz w:val="24"/>
                <w:szCs w:val="24"/>
              </w:rPr>
              <w:t>developed and</w:t>
            </w:r>
            <w:r w:rsidRPr="009E5604">
              <w:rPr>
                <w:rFonts w:asciiTheme="minorHAnsi" w:hAnsiTheme="minorHAnsi" w:cstheme="minorHAnsi"/>
                <w:spacing w:val="-11"/>
                <w:sz w:val="24"/>
                <w:szCs w:val="24"/>
              </w:rPr>
              <w:t xml:space="preserve"> </w:t>
            </w:r>
            <w:r w:rsidRPr="009E5604">
              <w:rPr>
                <w:rFonts w:asciiTheme="minorHAnsi" w:hAnsiTheme="minorHAnsi" w:cstheme="minorHAnsi"/>
                <w:sz w:val="24"/>
                <w:szCs w:val="24"/>
              </w:rPr>
              <w:t>implemented.</w:t>
            </w:r>
          </w:p>
          <w:p w:rsidR="00C65830" w:rsidRDefault="00C65830" w:rsidP="00C65830">
            <w:pPr>
              <w:pStyle w:val="TableParagraph"/>
              <w:numPr>
                <w:ilvl w:val="0"/>
                <w:numId w:val="42"/>
              </w:numPr>
              <w:tabs>
                <w:tab w:val="left" w:pos="820"/>
                <w:tab w:val="left" w:pos="821"/>
              </w:tabs>
              <w:spacing w:before="0"/>
              <w:ind w:right="216"/>
              <w:rPr>
                <w:sz w:val="24"/>
              </w:rPr>
            </w:pPr>
            <w:r>
              <w:rPr>
                <w:sz w:val="24"/>
              </w:rPr>
              <w:t>All New Zealanders see the Alexander Turnbull Library as a safe and trusted repository for their stories and histories.</w:t>
            </w:r>
          </w:p>
          <w:p w:rsidR="00C65830" w:rsidRDefault="00C65830" w:rsidP="00C65830">
            <w:pPr>
              <w:pStyle w:val="TableParagraph"/>
              <w:numPr>
                <w:ilvl w:val="0"/>
                <w:numId w:val="42"/>
              </w:numPr>
              <w:tabs>
                <w:tab w:val="left" w:pos="458"/>
                <w:tab w:val="left" w:pos="459"/>
              </w:tabs>
              <w:spacing w:before="65"/>
              <w:ind w:right="165"/>
              <w:rPr>
                <w:sz w:val="24"/>
              </w:rPr>
            </w:pPr>
            <w:r w:rsidRPr="009E5604">
              <w:rPr>
                <w:rFonts w:asciiTheme="minorHAnsi" w:hAnsiTheme="minorHAnsi" w:cstheme="minorHAnsi"/>
                <w:sz w:val="24"/>
                <w:szCs w:val="24"/>
                <w:shd w:val="clear" w:color="auto" w:fill="FFFFFF"/>
              </w:rPr>
              <w:t xml:space="preserve">The Library’s commitment to </w:t>
            </w:r>
            <w:r>
              <w:rPr>
                <w:rFonts w:asciiTheme="minorHAnsi" w:hAnsiTheme="minorHAnsi" w:cstheme="minorHAnsi"/>
                <w:sz w:val="24"/>
                <w:szCs w:val="24"/>
                <w:shd w:val="clear" w:color="auto" w:fill="FFFFFF"/>
              </w:rPr>
              <w:t xml:space="preserve">Te </w:t>
            </w:r>
            <w:proofErr w:type="spellStart"/>
            <w:r>
              <w:rPr>
                <w:rFonts w:asciiTheme="minorHAnsi" w:hAnsiTheme="minorHAnsi" w:cstheme="minorHAnsi"/>
                <w:sz w:val="24"/>
                <w:szCs w:val="24"/>
                <w:shd w:val="clear" w:color="auto" w:fill="FFFFFF"/>
              </w:rPr>
              <w:t>Tiriti</w:t>
            </w:r>
            <w:proofErr w:type="spellEnd"/>
            <w:r>
              <w:rPr>
                <w:rFonts w:asciiTheme="minorHAnsi" w:hAnsiTheme="minorHAnsi" w:cstheme="minorHAnsi"/>
                <w:sz w:val="24"/>
                <w:szCs w:val="24"/>
                <w:shd w:val="clear" w:color="auto" w:fill="FFFFFF"/>
              </w:rPr>
              <w:t xml:space="preserve"> o Waitangi, </w:t>
            </w:r>
            <w:r w:rsidRPr="009E5604">
              <w:rPr>
                <w:rFonts w:asciiTheme="minorHAnsi" w:hAnsiTheme="minorHAnsi" w:cstheme="minorHAnsi"/>
                <w:sz w:val="24"/>
                <w:szCs w:val="24"/>
                <w:shd w:val="clear" w:color="auto" w:fill="FFFFFF"/>
              </w:rPr>
              <w:t>diversity, equity and inclusion, particularly as they inform collection</w:t>
            </w:r>
            <w:r>
              <w:rPr>
                <w:rFonts w:asciiTheme="minorHAnsi" w:hAnsiTheme="minorHAnsi" w:cstheme="minorHAnsi"/>
                <w:sz w:val="24"/>
                <w:szCs w:val="24"/>
                <w:shd w:val="clear" w:color="auto" w:fill="FFFFFF"/>
              </w:rPr>
              <w:t xml:space="preserve"> building</w:t>
            </w:r>
            <w:r w:rsidRPr="009E5604">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relationships, and </w:t>
            </w:r>
            <w:r w:rsidRPr="009E5604">
              <w:rPr>
                <w:rFonts w:asciiTheme="minorHAnsi" w:hAnsiTheme="minorHAnsi" w:cstheme="minorHAnsi"/>
                <w:sz w:val="24"/>
                <w:szCs w:val="24"/>
                <w:shd w:val="clear" w:color="auto" w:fill="FFFFFF"/>
              </w:rPr>
              <w:t>communication</w:t>
            </w:r>
            <w:r>
              <w:rPr>
                <w:rFonts w:asciiTheme="minorHAnsi" w:hAnsiTheme="minorHAnsi" w:cstheme="minorHAnsi"/>
                <w:sz w:val="24"/>
                <w:szCs w:val="24"/>
                <w:shd w:val="clear" w:color="auto" w:fill="FFFFFF"/>
              </w:rPr>
              <w:t xml:space="preserve"> is demonstrated.</w:t>
            </w:r>
          </w:p>
        </w:tc>
      </w:tr>
      <w:tr w:rsidR="00C65830" w:rsidRPr="003D175D" w:rsidTr="003D175D">
        <w:trPr>
          <w:cantSplit/>
        </w:trPr>
        <w:tc>
          <w:tcPr>
            <w:tcW w:w="5812" w:type="dxa"/>
            <w:tcBorders>
              <w:top w:val="nil"/>
              <w:left w:val="nil"/>
              <w:bottom w:val="single" w:sz="6" w:space="0" w:color="1F546B" w:themeColor="text2"/>
              <w:right w:val="single" w:sz="6" w:space="0" w:color="1F546B" w:themeColor="text2"/>
            </w:tcBorders>
          </w:tcPr>
          <w:p w:rsidR="00C65830" w:rsidRDefault="00C65830" w:rsidP="00C65830">
            <w:pPr>
              <w:pStyle w:val="TableParagraph"/>
              <w:spacing w:before="119"/>
              <w:ind w:left="100" w:right="238"/>
              <w:rPr>
                <w:b/>
                <w:sz w:val="24"/>
              </w:rPr>
            </w:pPr>
            <w:r>
              <w:rPr>
                <w:b/>
                <w:sz w:val="24"/>
              </w:rPr>
              <w:t>Continuous improvement</w:t>
            </w:r>
          </w:p>
          <w:p w:rsidR="00C65830" w:rsidRPr="00C65830" w:rsidRDefault="00C65830" w:rsidP="00C65830">
            <w:pPr>
              <w:pStyle w:val="TableParagraph"/>
              <w:numPr>
                <w:ilvl w:val="0"/>
                <w:numId w:val="44"/>
              </w:numPr>
              <w:tabs>
                <w:tab w:val="left" w:pos="821"/>
                <w:tab w:val="left" w:pos="822"/>
              </w:tabs>
              <w:spacing w:before="119"/>
              <w:rPr>
                <w:sz w:val="24"/>
              </w:rPr>
            </w:pPr>
            <w:r>
              <w:rPr>
                <w:sz w:val="24"/>
              </w:rPr>
              <w:t>Draw on knowledge of current best practice</w:t>
            </w:r>
            <w:r>
              <w:rPr>
                <w:spacing w:val="-17"/>
                <w:sz w:val="24"/>
              </w:rPr>
              <w:t xml:space="preserve"> </w:t>
            </w:r>
            <w:r>
              <w:rPr>
                <w:sz w:val="24"/>
              </w:rPr>
              <w:t xml:space="preserve">in </w:t>
            </w:r>
            <w:r w:rsidRPr="00C65830">
              <w:rPr>
                <w:sz w:val="24"/>
              </w:rPr>
              <w:t xml:space="preserve">librarianship, archival theory, and associated disciplines to ensure that the collections continue to be developed, housed and described appropriately </w:t>
            </w:r>
          </w:p>
          <w:p w:rsidR="00C65830" w:rsidRPr="009E5604" w:rsidRDefault="00C65830" w:rsidP="00C65830">
            <w:pPr>
              <w:pStyle w:val="TableParagraph"/>
              <w:numPr>
                <w:ilvl w:val="0"/>
                <w:numId w:val="44"/>
              </w:numPr>
              <w:tabs>
                <w:tab w:val="left" w:pos="458"/>
                <w:tab w:val="left" w:pos="459"/>
              </w:tabs>
              <w:spacing w:before="40"/>
              <w:ind w:right="395"/>
              <w:rPr>
                <w:sz w:val="24"/>
                <w:szCs w:val="24"/>
              </w:rPr>
            </w:pPr>
            <w:r>
              <w:rPr>
                <w:sz w:val="24"/>
              </w:rPr>
              <w:t>Develop and maintain knowledge of all areas of the Library's collections in order to provide research advice to</w:t>
            </w:r>
            <w:r>
              <w:rPr>
                <w:spacing w:val="-13"/>
                <w:sz w:val="24"/>
              </w:rPr>
              <w:t xml:space="preserve"> </w:t>
            </w:r>
            <w:r>
              <w:rPr>
                <w:sz w:val="24"/>
              </w:rPr>
              <w:t>clients</w:t>
            </w:r>
          </w:p>
        </w:tc>
        <w:tc>
          <w:tcPr>
            <w:tcW w:w="3935" w:type="dxa"/>
            <w:tcBorders>
              <w:top w:val="nil"/>
              <w:left w:val="single" w:sz="6" w:space="0" w:color="1F546B" w:themeColor="text2"/>
              <w:bottom w:val="single" w:sz="6" w:space="0" w:color="1F546B" w:themeColor="text2"/>
              <w:right w:val="nil"/>
            </w:tcBorders>
          </w:tcPr>
          <w:p w:rsidR="00C65830" w:rsidRDefault="00C65830" w:rsidP="00C65830">
            <w:pPr>
              <w:pStyle w:val="TableParagraph"/>
              <w:numPr>
                <w:ilvl w:val="0"/>
                <w:numId w:val="45"/>
              </w:numPr>
              <w:tabs>
                <w:tab w:val="left" w:pos="458"/>
                <w:tab w:val="left" w:pos="459"/>
              </w:tabs>
              <w:spacing w:before="38"/>
              <w:ind w:right="461"/>
              <w:rPr>
                <w:sz w:val="24"/>
              </w:rPr>
            </w:pPr>
            <w:r>
              <w:rPr>
                <w:sz w:val="24"/>
              </w:rPr>
              <w:t>The Alexander Turnbull Library Collections maintain their place in the forefront of library</w:t>
            </w:r>
            <w:r>
              <w:rPr>
                <w:spacing w:val="-13"/>
                <w:sz w:val="24"/>
              </w:rPr>
              <w:t xml:space="preserve"> and archival </w:t>
            </w:r>
            <w:r>
              <w:rPr>
                <w:sz w:val="24"/>
              </w:rPr>
              <w:t xml:space="preserve">practice; collections are identified, acquired, appraised, organized, housed, and described efficiently and effectively </w:t>
            </w:r>
          </w:p>
          <w:p w:rsidR="00C65830" w:rsidRDefault="00C65830" w:rsidP="00C65830">
            <w:pPr>
              <w:pStyle w:val="TableParagraph"/>
              <w:numPr>
                <w:ilvl w:val="0"/>
                <w:numId w:val="45"/>
              </w:numPr>
              <w:tabs>
                <w:tab w:val="left" w:pos="458"/>
                <w:tab w:val="left" w:pos="459"/>
              </w:tabs>
              <w:spacing w:before="38"/>
              <w:ind w:right="461"/>
              <w:rPr>
                <w:sz w:val="24"/>
              </w:rPr>
            </w:pPr>
            <w:r>
              <w:rPr>
                <w:sz w:val="24"/>
              </w:rPr>
              <w:t>Current and future potential researchers and users of the collection are informed and able to discover and use the Library’s collections</w:t>
            </w:r>
          </w:p>
        </w:tc>
      </w:tr>
      <w:tr w:rsidR="00C65830" w:rsidRPr="003D175D" w:rsidTr="003D175D">
        <w:trPr>
          <w:cantSplit/>
        </w:trPr>
        <w:tc>
          <w:tcPr>
            <w:tcW w:w="5812" w:type="dxa"/>
            <w:tcBorders>
              <w:top w:val="nil"/>
              <w:left w:val="nil"/>
              <w:bottom w:val="single" w:sz="6" w:space="0" w:color="1F546B" w:themeColor="text2"/>
              <w:right w:val="single" w:sz="6" w:space="0" w:color="1F546B" w:themeColor="text2"/>
            </w:tcBorders>
          </w:tcPr>
          <w:p w:rsidR="00C65830" w:rsidRPr="003D175D" w:rsidRDefault="00C65830" w:rsidP="00C65830">
            <w:pPr>
              <w:pStyle w:val="Tablenormal0"/>
              <w:rPr>
                <w:b/>
                <w:bCs/>
              </w:rPr>
            </w:pPr>
            <w:r>
              <w:rPr>
                <w:b/>
                <w:bCs/>
              </w:rPr>
              <w:t>Health and safety (for self)</w:t>
            </w:r>
          </w:p>
          <w:p w:rsidR="00C65830" w:rsidRDefault="00C65830" w:rsidP="00C65830">
            <w:pPr>
              <w:pStyle w:val="Tablebullet"/>
            </w:pPr>
            <w:r>
              <w:t>Work safely and take responsibility for keeping self and colleagues free from harm</w:t>
            </w:r>
          </w:p>
          <w:p w:rsidR="00C65830" w:rsidRDefault="00C65830" w:rsidP="00C65830">
            <w:pPr>
              <w:pStyle w:val="Tablebullet"/>
            </w:pPr>
            <w:r>
              <w:t>Report all incidents and hazards promptly</w:t>
            </w:r>
          </w:p>
          <w:p w:rsidR="00C65830" w:rsidRDefault="00C65830" w:rsidP="00C65830">
            <w:pPr>
              <w:pStyle w:val="Tablebullet"/>
            </w:pPr>
            <w:r>
              <w:t>Know what to do in the event of an emergency</w:t>
            </w:r>
          </w:p>
          <w:p w:rsidR="00C65830" w:rsidRPr="003D175D" w:rsidRDefault="00C65830" w:rsidP="00C65830">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rsidR="00C65830" w:rsidRDefault="00C65830" w:rsidP="00C65830">
            <w:pPr>
              <w:pStyle w:val="Tablebullet"/>
            </w:pPr>
            <w:r w:rsidRPr="009161CB">
              <w:t>A safe and health</w:t>
            </w:r>
            <w:r>
              <w:t>y</w:t>
            </w:r>
            <w:r w:rsidRPr="009161CB">
              <w:t xml:space="preserve"> workplace for all people using our sites as a place of work.</w:t>
            </w:r>
          </w:p>
          <w:p w:rsidR="00C65830" w:rsidRPr="003D175D" w:rsidRDefault="00C65830" w:rsidP="00C65830">
            <w:pPr>
              <w:pStyle w:val="Tablebullet"/>
            </w:pPr>
            <w:r w:rsidRPr="006B2693">
              <w:t>Health and</w:t>
            </w:r>
            <w:r>
              <w:t xml:space="preserve"> safety guidelines are followed</w:t>
            </w:r>
          </w:p>
        </w:tc>
      </w:tr>
    </w:tbl>
    <w:p w:rsidR="00285621" w:rsidRDefault="00285621" w:rsidP="00285621">
      <w:pPr>
        <w:pStyle w:val="Tinyline"/>
      </w:pPr>
    </w:p>
    <w:tbl>
      <w:tblPr>
        <w:tblStyle w:val="Blanktable"/>
        <w:tblW w:w="10404"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gridCol w:w="652"/>
      </w:tblGrid>
      <w:tr w:rsidR="006B2693" w:rsidRPr="00267EDC" w:rsidTr="005F4EEB">
        <w:trPr>
          <w:gridAfter w:val="1"/>
          <w:wAfter w:w="652" w:type="dxa"/>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5F4EEB">
        <w:trPr>
          <w:gridAfter w:val="1"/>
          <w:wAfter w:w="652" w:type="dxa"/>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F81C70" w:rsidRPr="001D30D4" w:rsidTr="00BB092A">
        <w:trPr>
          <w:gridAfter w:val="1"/>
          <w:wAfter w:w="652" w:type="dxa"/>
          <w:trHeight w:val="345"/>
        </w:trPr>
        <w:tc>
          <w:tcPr>
            <w:tcW w:w="1134" w:type="dxa"/>
            <w:vMerge w:val="restart"/>
            <w:tcBorders>
              <w:top w:val="single" w:sz="6" w:space="0" w:color="1F546B" w:themeColor="text2"/>
              <w:right w:val="single" w:sz="6" w:space="0" w:color="1F546B" w:themeColor="text2"/>
            </w:tcBorders>
            <w:vAlign w:val="center"/>
          </w:tcPr>
          <w:p w:rsidR="00F81C70" w:rsidRPr="001D30D4" w:rsidRDefault="00F81C70"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Pr="001D30D4" w:rsidRDefault="00F81C70" w:rsidP="003D175D">
            <w:pPr>
              <w:pStyle w:val="Tablenormalcondensed"/>
            </w:pPr>
            <w:r>
              <w:t>National Library Managers and ATL Chief Librarian and managers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r>
      <w:tr w:rsidR="00F81C70" w:rsidRPr="001D30D4" w:rsidTr="00BB092A">
        <w:trPr>
          <w:gridAfter w:val="1"/>
          <w:wAfter w:w="652" w:type="dxa"/>
          <w:trHeight w:val="345"/>
        </w:trPr>
        <w:tc>
          <w:tcPr>
            <w:tcW w:w="1134" w:type="dxa"/>
            <w:vMerge/>
            <w:tcBorders>
              <w:right w:val="single" w:sz="6" w:space="0" w:color="1F546B" w:themeColor="text2"/>
            </w:tcBorders>
            <w:vAlign w:val="center"/>
          </w:tcPr>
          <w:p w:rsidR="00F81C70" w:rsidRPr="001D30D4" w:rsidRDefault="00F81C70"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Pr="001D30D4" w:rsidRDefault="00F81C70" w:rsidP="001D30D4">
            <w:pPr>
              <w:pStyle w:val="Tablenormalcondensed"/>
              <w:rPr>
                <w:highlight w:val="yellow"/>
              </w:rPr>
            </w:pPr>
            <w:r>
              <w:t>Curatorial Services Team Leader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1D30D4">
            <w:pPr>
              <w:pStyle w:val="Tablenormalcondensed"/>
            </w:pPr>
            <w:r w:rsidRPr="002A4E8E">
              <w:sym w:font="Wingdings" w:char="F0FC"/>
            </w:r>
          </w:p>
        </w:tc>
      </w:tr>
      <w:tr w:rsidR="00F81C70" w:rsidRPr="001D30D4" w:rsidTr="00BB092A">
        <w:trPr>
          <w:gridAfter w:val="1"/>
          <w:wAfter w:w="652" w:type="dxa"/>
          <w:trHeight w:val="345"/>
        </w:trPr>
        <w:tc>
          <w:tcPr>
            <w:tcW w:w="1134" w:type="dxa"/>
            <w:vMerge/>
            <w:tcBorders>
              <w:right w:val="single" w:sz="6" w:space="0" w:color="1F546B" w:themeColor="text2"/>
            </w:tcBorders>
            <w:vAlign w:val="center"/>
          </w:tcPr>
          <w:p w:rsidR="00F81C70" w:rsidRPr="001D30D4" w:rsidRDefault="00F81C70" w:rsidP="005F4EEB">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Pr="001D30D4" w:rsidRDefault="00F81C70" w:rsidP="005F4EEB">
            <w:pPr>
              <w:pStyle w:val="Tablenormalcondensed"/>
              <w:rPr>
                <w:highlight w:val="yellow"/>
              </w:rPr>
            </w:pPr>
            <w:r>
              <w:t>ATL and National Library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5F4EEB">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5F4EEB">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5F4EEB">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5F4EEB">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5F4EEB">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5F4EEB">
            <w:pPr>
              <w:pStyle w:val="Tablenormalcondensed"/>
            </w:pPr>
            <w:r w:rsidRPr="002A4E8E">
              <w:sym w:font="Wingdings" w:char="F0FC"/>
            </w:r>
          </w:p>
        </w:tc>
      </w:tr>
      <w:tr w:rsidR="00F81C70" w:rsidRPr="001D30D4" w:rsidTr="00BB092A">
        <w:trPr>
          <w:gridAfter w:val="1"/>
          <w:wAfter w:w="652" w:type="dxa"/>
          <w:trHeight w:val="345"/>
        </w:trPr>
        <w:tc>
          <w:tcPr>
            <w:tcW w:w="1134" w:type="dxa"/>
            <w:vMerge/>
            <w:tcBorders>
              <w:right w:val="single" w:sz="6" w:space="0" w:color="1F546B" w:themeColor="text2"/>
            </w:tcBorders>
            <w:vAlign w:val="center"/>
          </w:tcPr>
          <w:p w:rsidR="00F81C70" w:rsidRPr="001D30D4" w:rsidRDefault="00F81C70" w:rsidP="002A4E8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Default="00F81C70" w:rsidP="002A4E8E">
            <w:pPr>
              <w:pStyle w:val="Tablenormalcondensed"/>
            </w:pPr>
            <w:r>
              <w:t>Assistant Curators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r>
      <w:tr w:rsidR="00F81C70" w:rsidRPr="001D30D4" w:rsidTr="00BB092A">
        <w:trPr>
          <w:trHeight w:val="345"/>
        </w:trPr>
        <w:tc>
          <w:tcPr>
            <w:tcW w:w="1134" w:type="dxa"/>
            <w:vMerge/>
            <w:tcBorders>
              <w:bottom w:val="single" w:sz="6" w:space="0" w:color="1F546B" w:themeColor="text2"/>
              <w:right w:val="single" w:sz="6" w:space="0" w:color="1F546B" w:themeColor="text2"/>
            </w:tcBorders>
            <w:vAlign w:val="center"/>
          </w:tcPr>
          <w:p w:rsidR="00F81C70" w:rsidRPr="001D30D4" w:rsidRDefault="00F81C70" w:rsidP="002A4E8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Pr="001D30D4" w:rsidRDefault="00F81C70" w:rsidP="002A4E8E">
            <w:pPr>
              <w:pStyle w:val="Tablenormalcondensed"/>
              <w:rPr>
                <w:highlight w:val="yellow"/>
              </w:rPr>
            </w:pPr>
            <w:r>
              <w:t>Legal Services, Finance, Technology Services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vAlign w:val="center"/>
          </w:tcPr>
          <w:p w:rsidR="00F81C70" w:rsidRPr="003D175D" w:rsidRDefault="00F81C70" w:rsidP="002A4E8E">
            <w:pPr>
              <w:pStyle w:val="Tablenormalcondensed"/>
              <w:rPr>
                <w:highlight w:val="yellow"/>
              </w:rPr>
            </w:pPr>
          </w:p>
        </w:tc>
      </w:tr>
      <w:tr w:rsidR="00F81C70" w:rsidRPr="001D30D4" w:rsidTr="00E06A1A">
        <w:trPr>
          <w:gridAfter w:val="1"/>
          <w:wAfter w:w="652" w:type="dxa"/>
          <w:trHeight w:val="233"/>
        </w:trPr>
        <w:tc>
          <w:tcPr>
            <w:tcW w:w="1134" w:type="dxa"/>
            <w:vMerge w:val="restart"/>
            <w:tcBorders>
              <w:top w:val="single" w:sz="6" w:space="0" w:color="1F546B" w:themeColor="text2"/>
              <w:right w:val="single" w:sz="6" w:space="0" w:color="1F546B" w:themeColor="text2"/>
            </w:tcBorders>
            <w:vAlign w:val="center"/>
          </w:tcPr>
          <w:p w:rsidR="00F81C70" w:rsidRPr="001D30D4" w:rsidRDefault="00F81C70" w:rsidP="002A4E8E">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Pr="001D30D4" w:rsidRDefault="00F81C70" w:rsidP="002A4E8E">
            <w:pPr>
              <w:pStyle w:val="Tablenormalcondensed"/>
            </w:pPr>
            <w:r>
              <w:t>Researchers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r>
      <w:tr w:rsidR="00F81C70" w:rsidRPr="001D30D4" w:rsidTr="00E06A1A">
        <w:trPr>
          <w:gridAfter w:val="1"/>
          <w:wAfter w:w="652" w:type="dxa"/>
          <w:trHeight w:val="233"/>
        </w:trPr>
        <w:tc>
          <w:tcPr>
            <w:tcW w:w="1134" w:type="dxa"/>
            <w:vMerge/>
            <w:tcBorders>
              <w:right w:val="single" w:sz="6" w:space="0" w:color="1F546B" w:themeColor="text2"/>
            </w:tcBorders>
            <w:vAlign w:val="center"/>
          </w:tcPr>
          <w:p w:rsidR="00F81C70" w:rsidRPr="001D30D4" w:rsidRDefault="00F81C70" w:rsidP="002A4E8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Pr="001D30D4" w:rsidRDefault="00F81C70" w:rsidP="002A4E8E">
            <w:pPr>
              <w:pStyle w:val="Tablenormalcondensed"/>
              <w:rPr>
                <w:highlight w:val="yellow"/>
              </w:rPr>
            </w:pPr>
            <w:r>
              <w:t>Donors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r>
      <w:tr w:rsidR="00F81C70" w:rsidRPr="001D30D4" w:rsidTr="00E06A1A">
        <w:trPr>
          <w:gridAfter w:val="1"/>
          <w:wAfter w:w="652" w:type="dxa"/>
          <w:trHeight w:val="233"/>
        </w:trPr>
        <w:tc>
          <w:tcPr>
            <w:tcW w:w="1134" w:type="dxa"/>
            <w:vMerge/>
            <w:tcBorders>
              <w:right w:val="single" w:sz="6" w:space="0" w:color="1F546B" w:themeColor="text2"/>
            </w:tcBorders>
            <w:vAlign w:val="center"/>
          </w:tcPr>
          <w:p w:rsidR="00F81C70" w:rsidRPr="001D30D4" w:rsidRDefault="00F81C70" w:rsidP="002A4E8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Default="00F81C70" w:rsidP="002A4E8E">
            <w:pPr>
              <w:pStyle w:val="Tablenormalcondensed"/>
            </w:pPr>
            <w:r>
              <w:t>Colleagues from other institutions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2A4E8E">
            <w:pPr>
              <w:pStyle w:val="Tablenormalcondensed"/>
            </w:pPr>
          </w:p>
        </w:tc>
      </w:tr>
      <w:tr w:rsidR="00F81C70" w:rsidRPr="001D30D4" w:rsidTr="00E06A1A">
        <w:trPr>
          <w:gridAfter w:val="1"/>
          <w:wAfter w:w="652" w:type="dxa"/>
          <w:trHeight w:val="233"/>
        </w:trPr>
        <w:tc>
          <w:tcPr>
            <w:tcW w:w="1134" w:type="dxa"/>
            <w:vMerge/>
            <w:tcBorders>
              <w:bottom w:val="single" w:sz="6" w:space="0" w:color="1F546B" w:themeColor="text2"/>
              <w:right w:val="single" w:sz="6" w:space="0" w:color="1F546B" w:themeColor="text2"/>
            </w:tcBorders>
            <w:vAlign w:val="center"/>
          </w:tcPr>
          <w:p w:rsidR="00F81C70" w:rsidRPr="001D30D4" w:rsidRDefault="00F81C70" w:rsidP="002A4E8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81C70" w:rsidRDefault="00F81C70" w:rsidP="002A4E8E">
            <w:pPr>
              <w:pStyle w:val="Tablenormalcondensed"/>
            </w:pPr>
            <w:r>
              <w:t>Vendors and Publishers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r w:rsidRPr="002A4E8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81C70" w:rsidRPr="002A4E8E" w:rsidRDefault="00F81C70" w:rsidP="002A4E8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81C70" w:rsidRPr="002A4E8E" w:rsidRDefault="00F81C70" w:rsidP="002A4E8E">
            <w:pPr>
              <w:pStyle w:val="Tablenormalcondensed"/>
            </w:pPr>
          </w:p>
        </w:tc>
      </w:tr>
    </w:tbl>
    <w:p w:rsidR="008023C3" w:rsidRDefault="008023C3" w:rsidP="00ED37A7">
      <w:pPr>
        <w:pStyle w:val="Tinyline"/>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71"/>
        <w:gridCol w:w="4744"/>
      </w:tblGrid>
      <w:tr w:rsidR="00ED37A7" w:rsidRPr="008023C3"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ED37A7" w:rsidRPr="008023C3" w:rsidRDefault="00ED37A7" w:rsidP="00ED37A7">
            <w:pPr>
              <w:pStyle w:val="Tableheading"/>
            </w:pPr>
            <w:r>
              <w:t xml:space="preserve">Your delegations </w:t>
            </w:r>
          </w:p>
        </w:tc>
      </w:tr>
      <w:tr w:rsidR="00ED37A7" w:rsidRPr="008023C3" w:rsidTr="00880632">
        <w:tc>
          <w:tcPr>
            <w:tcW w:w="4873" w:type="dxa"/>
            <w:tcBorders>
              <w:top w:val="nil"/>
              <w:left w:val="nil"/>
              <w:bottom w:val="single" w:sz="6" w:space="0" w:color="1F546B" w:themeColor="text2"/>
              <w:right w:val="single" w:sz="6" w:space="0" w:color="1F546B" w:themeColor="text2"/>
            </w:tcBorders>
          </w:tcPr>
          <w:p w:rsidR="00ED37A7" w:rsidRPr="00356EDF" w:rsidRDefault="00ED37A7"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rsidR="00ED37A7" w:rsidRPr="001D30D4" w:rsidRDefault="001B085C" w:rsidP="00ED37A7">
            <w:pPr>
              <w:pStyle w:val="Tablenormal0"/>
            </w:pPr>
            <w:r>
              <w:t>Z</w:t>
            </w:r>
          </w:p>
        </w:tc>
      </w:tr>
      <w:tr w:rsidR="00ED37A7" w:rsidRPr="008023C3" w:rsidTr="00880632">
        <w:tc>
          <w:tcPr>
            <w:tcW w:w="4873" w:type="dxa"/>
            <w:tcBorders>
              <w:top w:val="single" w:sz="6" w:space="0" w:color="1F546B" w:themeColor="text2"/>
              <w:left w:val="nil"/>
              <w:bottom w:val="single" w:sz="6" w:space="0" w:color="1F546B" w:themeColor="text2"/>
              <w:right w:val="single" w:sz="6" w:space="0" w:color="1F546B" w:themeColor="text2"/>
            </w:tcBorders>
          </w:tcPr>
          <w:p w:rsidR="00ED37A7" w:rsidRDefault="00ED37A7"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ED37A7" w:rsidRPr="001D30D4" w:rsidRDefault="00C65830" w:rsidP="00880632">
            <w:pPr>
              <w:pStyle w:val="Tablenormal0"/>
            </w:pPr>
            <w:r>
              <w:t>0-1</w:t>
            </w:r>
          </w:p>
        </w:tc>
      </w:tr>
    </w:tbl>
    <w:p w:rsidR="00ED37A7" w:rsidRDefault="00ED37A7" w:rsidP="00ED37A7">
      <w:pPr>
        <w:pStyle w:val="Tinyline"/>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7"/>
        <w:gridCol w:w="4758"/>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1D30D4">
        <w:tc>
          <w:tcPr>
            <w:tcW w:w="4873" w:type="dxa"/>
            <w:tcBorders>
              <w:top w:val="nil"/>
              <w:left w:val="nil"/>
              <w:bottom w:val="single" w:sz="6" w:space="0" w:color="1F546B" w:themeColor="text2"/>
              <w:right w:val="single" w:sz="6" w:space="0" w:color="1F546B" w:themeColor="text2"/>
            </w:tcBorders>
          </w:tcPr>
          <w:p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00820EC3" w:rsidRPr="00E51061">
                <w:rPr>
                  <w:rStyle w:val="Hyperlink"/>
                </w:rPr>
                <w:t>Specialist</w:t>
              </w:r>
            </w:hyperlink>
            <w:r w:rsidR="001D30D4">
              <w:t>.</w:t>
            </w:r>
            <w:r w:rsidRPr="008023C3">
              <w:br/>
            </w:r>
            <w:r w:rsidRPr="008023C3">
              <w:br/>
            </w:r>
            <w:r w:rsidRPr="009E40D1">
              <w:rPr>
                <w:b/>
                <w:bCs/>
              </w:rPr>
              <w:t>Keys to Success:</w:t>
            </w:r>
          </w:p>
          <w:p w:rsidR="00820EC3" w:rsidRDefault="00820EC3" w:rsidP="00820EC3">
            <w:pPr>
              <w:pStyle w:val="Tablebullet"/>
            </w:pPr>
            <w:r>
              <w:t>Problem solving</w:t>
            </w:r>
          </w:p>
          <w:p w:rsidR="00820EC3" w:rsidRDefault="00820EC3" w:rsidP="00820EC3">
            <w:pPr>
              <w:pStyle w:val="Tablebullet"/>
            </w:pPr>
            <w:r>
              <w:t>Critical thinking</w:t>
            </w:r>
          </w:p>
          <w:p w:rsidR="00820EC3" w:rsidRDefault="00820EC3" w:rsidP="00820EC3">
            <w:pPr>
              <w:pStyle w:val="Tablebullet"/>
            </w:pPr>
            <w:r>
              <w:t>Interpersonal savvy</w:t>
            </w:r>
          </w:p>
          <w:p w:rsidR="00820EC3" w:rsidRDefault="00820EC3" w:rsidP="00820EC3">
            <w:pPr>
              <w:pStyle w:val="Tablebullet"/>
            </w:pPr>
            <w:r>
              <w:t>Navigating complexity</w:t>
            </w:r>
          </w:p>
          <w:p w:rsidR="00820EC3" w:rsidRDefault="00820EC3" w:rsidP="00820EC3">
            <w:pPr>
              <w:pStyle w:val="Tablebullet"/>
            </w:pPr>
            <w:r>
              <w:t>Communicating with influence</w:t>
            </w:r>
          </w:p>
          <w:p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rsidR="008023C3" w:rsidRPr="001D30D4" w:rsidRDefault="008023C3" w:rsidP="001D30D4">
            <w:pPr>
              <w:pStyle w:val="Tablenormal0"/>
              <w:rPr>
                <w:b/>
                <w:bCs/>
              </w:rPr>
            </w:pPr>
            <w:r w:rsidRPr="001D30D4">
              <w:rPr>
                <w:b/>
                <w:bCs/>
              </w:rPr>
              <w:t xml:space="preserve">Experience: </w:t>
            </w:r>
          </w:p>
          <w:p w:rsidR="008023C3" w:rsidRDefault="002A4E8E" w:rsidP="00B8437A">
            <w:pPr>
              <w:pStyle w:val="Tablebullet"/>
            </w:pPr>
            <w:r>
              <w:t>Experience working in a professional role in a research institution such as a research library, archives, museum, or comparable setting.</w:t>
            </w:r>
          </w:p>
          <w:p w:rsidR="002A4E8E" w:rsidRDefault="002A4E8E" w:rsidP="00B8437A">
            <w:pPr>
              <w:pStyle w:val="Tablebullet"/>
            </w:pPr>
            <w:r>
              <w:t>Experience developing, managing and/or describing collections in a Library special collections, archives, or related environment</w:t>
            </w:r>
          </w:p>
          <w:p w:rsidR="002A4E8E" w:rsidRDefault="002A4E8E" w:rsidP="00B8437A">
            <w:pPr>
              <w:pStyle w:val="Tablebullet"/>
            </w:pPr>
            <w:r>
              <w:t>Experience engaging or working effectively with community partners</w:t>
            </w:r>
          </w:p>
          <w:p w:rsidR="002A4E8E" w:rsidRPr="001D30D4" w:rsidRDefault="002A4E8E" w:rsidP="00B8437A">
            <w:pPr>
              <w:pStyle w:val="Tablebullet"/>
            </w:pPr>
            <w:r>
              <w:t>Experience coaching and mentoring others</w:t>
            </w:r>
          </w:p>
          <w:p w:rsidR="008023C3" w:rsidRPr="001D30D4" w:rsidRDefault="008023C3" w:rsidP="001D30D4">
            <w:pPr>
              <w:pStyle w:val="Tablenormal0"/>
              <w:rPr>
                <w:b/>
                <w:bCs/>
              </w:rPr>
            </w:pPr>
            <w:r w:rsidRPr="001D30D4">
              <w:rPr>
                <w:b/>
                <w:bCs/>
              </w:rPr>
              <w:t>Knowledge:</w:t>
            </w:r>
          </w:p>
          <w:p w:rsidR="002A4E8E" w:rsidRDefault="002A4E8E" w:rsidP="00B8437A">
            <w:pPr>
              <w:pStyle w:val="Tablebullet"/>
            </w:pPr>
            <w:r>
              <w:t>K</w:t>
            </w:r>
            <w:r w:rsidRPr="001554E1">
              <w:t>nowledge of the geography</w:t>
            </w:r>
            <w:r>
              <w:t>,</w:t>
            </w:r>
            <w:r w:rsidRPr="001554E1">
              <w:t xml:space="preserve"> history</w:t>
            </w:r>
            <w:r>
              <w:t>, and cultures</w:t>
            </w:r>
            <w:r w:rsidRPr="001554E1">
              <w:t xml:space="preserve"> of New Zealand and the Pacific</w:t>
            </w:r>
          </w:p>
          <w:p w:rsidR="002A4E8E" w:rsidRDefault="002A4E8E" w:rsidP="00B8437A">
            <w:pPr>
              <w:pStyle w:val="Tablebullet"/>
            </w:pPr>
            <w:r>
              <w:t>Demonstrated knowledge, understanding and willingness to engage with current developments, trends, and technologies in special collections and archives</w:t>
            </w:r>
          </w:p>
          <w:p w:rsidR="002A4E8E" w:rsidRDefault="002A4E8E" w:rsidP="00B8437A">
            <w:pPr>
              <w:pStyle w:val="Tablebullet"/>
            </w:pPr>
            <w:r>
              <w:t>Understanding of practices, techniques, concepts and theoretical principles of archival and special collections librarianship</w:t>
            </w:r>
          </w:p>
          <w:p w:rsidR="008023C3" w:rsidRPr="001D30D4" w:rsidRDefault="002A4E8E" w:rsidP="00B8437A">
            <w:pPr>
              <w:pStyle w:val="Tablebullet"/>
            </w:pPr>
            <w:r>
              <w:t>U</w:t>
            </w:r>
            <w:r w:rsidRPr="001554E1">
              <w:t>nderstanding of tikanga Māori,</w:t>
            </w:r>
            <w:r w:rsidRPr="001554E1">
              <w:rPr>
                <w:spacing w:val="-16"/>
              </w:rPr>
              <w:t xml:space="preserve"> </w:t>
            </w:r>
            <w:r w:rsidRPr="001554E1">
              <w:t xml:space="preserve">and Te </w:t>
            </w:r>
            <w:proofErr w:type="spellStart"/>
            <w:r w:rsidRPr="001554E1">
              <w:t>Reo</w:t>
            </w:r>
            <w:proofErr w:type="spellEnd"/>
            <w:r w:rsidRPr="001554E1">
              <w:rPr>
                <w:spacing w:val="-6"/>
              </w:rPr>
              <w:t xml:space="preserve"> </w:t>
            </w:r>
            <w:r w:rsidRPr="001554E1">
              <w:t>pronunciation</w:t>
            </w:r>
          </w:p>
          <w:p w:rsidR="008023C3" w:rsidRPr="001D30D4" w:rsidRDefault="008023C3" w:rsidP="001D30D4">
            <w:pPr>
              <w:pStyle w:val="Tablenormal0"/>
              <w:rPr>
                <w:b/>
                <w:bCs/>
              </w:rPr>
            </w:pPr>
            <w:r w:rsidRPr="001D30D4">
              <w:rPr>
                <w:b/>
                <w:bCs/>
              </w:rPr>
              <w:lastRenderedPageBreak/>
              <w:t>Skills:</w:t>
            </w:r>
          </w:p>
          <w:p w:rsidR="002A4E8E" w:rsidRPr="001554E1" w:rsidRDefault="002A4E8E" w:rsidP="00B8437A">
            <w:pPr>
              <w:pStyle w:val="Tablebullet"/>
            </w:pPr>
            <w:r w:rsidRPr="001554E1">
              <w:t>Excellent written communication skills with the ability to write succinctly, coherently and in a style appropriate to the target</w:t>
            </w:r>
            <w:r w:rsidRPr="001554E1">
              <w:rPr>
                <w:spacing w:val="-9"/>
              </w:rPr>
              <w:t xml:space="preserve"> </w:t>
            </w:r>
            <w:r w:rsidRPr="001554E1">
              <w:t>audience</w:t>
            </w:r>
          </w:p>
          <w:p w:rsidR="002A4E8E" w:rsidRPr="00C64D46" w:rsidRDefault="002A4E8E" w:rsidP="00B8437A">
            <w:pPr>
              <w:pStyle w:val="Tablebullet"/>
            </w:pPr>
            <w:r w:rsidRPr="001554E1">
              <w:t>Excellent verbal communication and presentation skills (including public speaking), with the ability</w:t>
            </w:r>
            <w:r w:rsidRPr="001554E1">
              <w:rPr>
                <w:spacing w:val="17"/>
              </w:rPr>
              <w:t xml:space="preserve"> </w:t>
            </w:r>
            <w:r w:rsidRPr="001554E1">
              <w:t>to</w:t>
            </w:r>
            <w:r>
              <w:t xml:space="preserve"> </w:t>
            </w:r>
            <w:r w:rsidRPr="00366297">
              <w:t>communicate information to a wide range of audiences</w:t>
            </w:r>
          </w:p>
          <w:p w:rsidR="00F81C70" w:rsidRDefault="002A4E8E" w:rsidP="00B8437A">
            <w:pPr>
              <w:pStyle w:val="Tablebullet"/>
            </w:pPr>
            <w:r w:rsidRPr="00863C73">
              <w:t>Demonstrates an understanding of the implication of the Treaty of Waitangi</w:t>
            </w:r>
            <w:r w:rsidR="00F81C70">
              <w:t>/</w:t>
            </w:r>
            <w:r w:rsidR="00F81C70">
              <w:rPr>
                <w:rFonts w:asciiTheme="minorHAnsi" w:hAnsiTheme="minorHAnsi" w:cstheme="minorHAnsi"/>
                <w:shd w:val="clear" w:color="auto" w:fill="FFFFFF"/>
              </w:rPr>
              <w:t xml:space="preserve"> Te </w:t>
            </w:r>
            <w:proofErr w:type="spellStart"/>
            <w:r w:rsidR="00F81C70">
              <w:rPr>
                <w:rFonts w:asciiTheme="minorHAnsi" w:hAnsiTheme="minorHAnsi" w:cstheme="minorHAnsi"/>
                <w:shd w:val="clear" w:color="auto" w:fill="FFFFFF"/>
              </w:rPr>
              <w:t>Tiriti</w:t>
            </w:r>
            <w:proofErr w:type="spellEnd"/>
            <w:r w:rsidR="00F81C70">
              <w:rPr>
                <w:rFonts w:asciiTheme="minorHAnsi" w:hAnsiTheme="minorHAnsi" w:cstheme="minorHAnsi"/>
                <w:shd w:val="clear" w:color="auto" w:fill="FFFFFF"/>
              </w:rPr>
              <w:t xml:space="preserve"> o Waitangi</w:t>
            </w:r>
            <w:r w:rsidRPr="00863C73">
              <w:t xml:space="preserve"> on today’s society and a commitment to ensuring that we meet our obligations under the T</w:t>
            </w:r>
            <w:r w:rsidR="00F81C70">
              <w:t xml:space="preserve">e </w:t>
            </w:r>
            <w:proofErr w:type="spellStart"/>
            <w:r w:rsidR="00F81C70">
              <w:t>Tiriti</w:t>
            </w:r>
            <w:proofErr w:type="spellEnd"/>
            <w:r w:rsidRPr="00863C73">
              <w:t>.</w:t>
            </w:r>
            <w:r>
              <w:t xml:space="preserve"> </w:t>
            </w:r>
          </w:p>
          <w:p w:rsidR="008023C3" w:rsidRPr="001D30D4" w:rsidRDefault="002A4E8E" w:rsidP="00B8437A">
            <w:pPr>
              <w:pStyle w:val="Tablebullet"/>
            </w:pPr>
            <w:r>
              <w:t>Ability to work creatively, collaboratively, and effectively and to promote teamwork, diversity, equity, and inclusiveness with the Library and across the Department</w:t>
            </w:r>
          </w:p>
          <w:p w:rsidR="008023C3" w:rsidRPr="001D30D4" w:rsidRDefault="008023C3" w:rsidP="001D30D4">
            <w:pPr>
              <w:pStyle w:val="Tablenormal0"/>
              <w:rPr>
                <w:b/>
                <w:bCs/>
              </w:rPr>
            </w:pPr>
            <w:r w:rsidRPr="001D30D4">
              <w:rPr>
                <w:b/>
                <w:bCs/>
              </w:rPr>
              <w:t>Other requirements:</w:t>
            </w:r>
          </w:p>
          <w:p w:rsidR="008023C3" w:rsidRDefault="00B8437A" w:rsidP="00B8437A">
            <w:pPr>
              <w:pStyle w:val="Tablebullet"/>
            </w:pPr>
            <w:r>
              <w:t>Degree in a relevant subject</w:t>
            </w:r>
          </w:p>
          <w:p w:rsidR="00B8437A" w:rsidRPr="00863C73" w:rsidRDefault="00B8437A" w:rsidP="00B8437A">
            <w:pPr>
              <w:pStyle w:val="Tablebullet"/>
            </w:pPr>
            <w:r w:rsidRPr="00863C73">
              <w:t>Post graduate qualification in the field of librarianship or archival studies, or demonstrated relevant experience</w:t>
            </w:r>
            <w:r>
              <w:t xml:space="preserve"> an advantage</w:t>
            </w:r>
          </w:p>
          <w:p w:rsidR="00B8437A" w:rsidRPr="001D30D4" w:rsidRDefault="00B8437A" w:rsidP="00B8437A">
            <w:pPr>
              <w:pStyle w:val="Tablebullet"/>
            </w:pPr>
            <w:r>
              <w:t xml:space="preserve">Knowledge of Te </w:t>
            </w:r>
            <w:proofErr w:type="spellStart"/>
            <w:r>
              <w:t>Ao</w:t>
            </w:r>
            <w:proofErr w:type="spellEnd"/>
            <w:r>
              <w:t xml:space="preserve"> Māori an advantage</w:t>
            </w:r>
          </w:p>
        </w:tc>
      </w:tr>
    </w:tbl>
    <w:p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375" w:rsidRDefault="00FF4375">
      <w:r>
        <w:separator/>
      </w:r>
    </w:p>
    <w:p w:rsidR="00FF4375" w:rsidRDefault="00FF4375"/>
    <w:p w:rsidR="00FF4375" w:rsidRDefault="00FF4375"/>
  </w:endnote>
  <w:endnote w:type="continuationSeparator" w:id="0">
    <w:p w:rsidR="00FF4375" w:rsidRDefault="00FF4375">
      <w:r>
        <w:continuationSeparator/>
      </w:r>
    </w:p>
    <w:p w:rsidR="00FF4375" w:rsidRDefault="00FF4375"/>
    <w:p w:rsidR="00FF4375" w:rsidRDefault="00FF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r w:rsidR="00CD7F74">
      <w:rPr>
        <w:noProof/>
      </w:rPr>
      <w:fldChar w:fldCharType="begin"/>
    </w:r>
    <w:r w:rsidR="00CD7F74">
      <w:rPr>
        <w:noProof/>
      </w:rPr>
      <w:instrText xml:space="preserve"> NUMPAGES   \* MERGEFORMAT </w:instrText>
    </w:r>
    <w:r w:rsidR="00CD7F74">
      <w:rPr>
        <w:noProof/>
      </w:rPr>
      <w:fldChar w:fldCharType="separate"/>
    </w:r>
    <w:r w:rsidR="002360F3">
      <w:rPr>
        <w:noProof/>
      </w:rPr>
      <w:t>2</w:t>
    </w:r>
    <w:r w:rsidR="00CD7F7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375" w:rsidRDefault="00FF4375" w:rsidP="00FB1990">
      <w:pPr>
        <w:pStyle w:val="Spacer"/>
      </w:pPr>
      <w:r>
        <w:separator/>
      </w:r>
    </w:p>
    <w:p w:rsidR="00FF4375" w:rsidRDefault="00FF4375" w:rsidP="00FB1990">
      <w:pPr>
        <w:pStyle w:val="Spacer"/>
      </w:pPr>
    </w:p>
  </w:footnote>
  <w:footnote w:type="continuationSeparator" w:id="0">
    <w:p w:rsidR="00FF4375" w:rsidRDefault="00FF4375">
      <w:r>
        <w:continuationSeparator/>
      </w:r>
    </w:p>
    <w:p w:rsidR="00FF4375" w:rsidRDefault="00FF4375"/>
    <w:p w:rsidR="00FF4375" w:rsidRDefault="00FF4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FF" w:rsidRDefault="00735BFF" w:rsidP="00C40EAE">
    <w:pPr>
      <w:pStyle w:val="Header"/>
      <w:jc w:val="right"/>
    </w:pPr>
    <w:r w:rsidRPr="00CD3498">
      <w:tab/>
      <w:t xml:space="preserve">Te Tari </w:t>
    </w:r>
    <w:proofErr w:type="spellStart"/>
    <w:r w:rsidRPr="00CD3498">
      <w:t>Taiwhenua</w:t>
    </w:r>
    <w:proofErr w:type="spellEnd"/>
  </w:p>
  <w:p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D2399B"/>
    <w:multiLevelType w:val="hybridMultilevel"/>
    <w:tmpl w:val="59E03F88"/>
    <w:lvl w:ilvl="0" w:tplc="D9206238">
      <w:numFmt w:val="bullet"/>
      <w:lvlText w:val=""/>
      <w:lvlJc w:val="left"/>
      <w:pPr>
        <w:ind w:left="820" w:hanging="360"/>
      </w:pPr>
      <w:rPr>
        <w:rFonts w:ascii="Symbol" w:eastAsia="Symbol" w:hAnsi="Symbol" w:cs="Symbol" w:hint="default"/>
        <w:w w:val="100"/>
        <w:sz w:val="24"/>
        <w:szCs w:val="24"/>
      </w:rPr>
    </w:lvl>
    <w:lvl w:ilvl="1" w:tplc="7CFC4F44">
      <w:numFmt w:val="bullet"/>
      <w:lvlText w:val="•"/>
      <w:lvlJc w:val="left"/>
      <w:pPr>
        <w:ind w:left="1131" w:hanging="360"/>
      </w:pPr>
      <w:rPr>
        <w:rFonts w:hint="default"/>
      </w:rPr>
    </w:lvl>
    <w:lvl w:ilvl="2" w:tplc="5A443DEC">
      <w:numFmt w:val="bullet"/>
      <w:lvlText w:val="•"/>
      <w:lvlJc w:val="left"/>
      <w:pPr>
        <w:ind w:left="1442" w:hanging="360"/>
      </w:pPr>
      <w:rPr>
        <w:rFonts w:hint="default"/>
      </w:rPr>
    </w:lvl>
    <w:lvl w:ilvl="3" w:tplc="107E19E8">
      <w:numFmt w:val="bullet"/>
      <w:lvlText w:val="•"/>
      <w:lvlJc w:val="left"/>
      <w:pPr>
        <w:ind w:left="1754" w:hanging="360"/>
      </w:pPr>
      <w:rPr>
        <w:rFonts w:hint="default"/>
      </w:rPr>
    </w:lvl>
    <w:lvl w:ilvl="4" w:tplc="4B2E9C72">
      <w:numFmt w:val="bullet"/>
      <w:lvlText w:val="•"/>
      <w:lvlJc w:val="left"/>
      <w:pPr>
        <w:ind w:left="2065" w:hanging="360"/>
      </w:pPr>
      <w:rPr>
        <w:rFonts w:hint="default"/>
      </w:rPr>
    </w:lvl>
    <w:lvl w:ilvl="5" w:tplc="5EC06702">
      <w:numFmt w:val="bullet"/>
      <w:lvlText w:val="•"/>
      <w:lvlJc w:val="left"/>
      <w:pPr>
        <w:ind w:left="2377" w:hanging="360"/>
      </w:pPr>
      <w:rPr>
        <w:rFonts w:hint="default"/>
      </w:rPr>
    </w:lvl>
    <w:lvl w:ilvl="6" w:tplc="1492899C">
      <w:numFmt w:val="bullet"/>
      <w:lvlText w:val="•"/>
      <w:lvlJc w:val="left"/>
      <w:pPr>
        <w:ind w:left="2688" w:hanging="360"/>
      </w:pPr>
      <w:rPr>
        <w:rFonts w:hint="default"/>
      </w:rPr>
    </w:lvl>
    <w:lvl w:ilvl="7" w:tplc="9D7E709A">
      <w:numFmt w:val="bullet"/>
      <w:lvlText w:val="•"/>
      <w:lvlJc w:val="left"/>
      <w:pPr>
        <w:ind w:left="2999" w:hanging="360"/>
      </w:pPr>
      <w:rPr>
        <w:rFonts w:hint="default"/>
      </w:rPr>
    </w:lvl>
    <w:lvl w:ilvl="8" w:tplc="46826AF0">
      <w:numFmt w:val="bullet"/>
      <w:lvlText w:val="•"/>
      <w:lvlJc w:val="left"/>
      <w:pPr>
        <w:ind w:left="3311" w:hanging="360"/>
      </w:pPr>
      <w:rPr>
        <w:rFont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6D84E44"/>
    <w:multiLevelType w:val="hybridMultilevel"/>
    <w:tmpl w:val="7B70ED9E"/>
    <w:lvl w:ilvl="0" w:tplc="719AA198">
      <w:numFmt w:val="bullet"/>
      <w:lvlText w:val=""/>
      <w:lvlJc w:val="left"/>
      <w:pPr>
        <w:ind w:left="458" w:hanging="359"/>
      </w:pPr>
      <w:rPr>
        <w:rFonts w:ascii="Symbol" w:eastAsia="Symbol" w:hAnsi="Symbol" w:cs="Symbol" w:hint="default"/>
        <w:w w:val="100"/>
        <w:sz w:val="18"/>
        <w:szCs w:val="18"/>
      </w:rPr>
    </w:lvl>
    <w:lvl w:ilvl="1" w:tplc="ECCCFE34">
      <w:numFmt w:val="bullet"/>
      <w:lvlText w:val="•"/>
      <w:lvlJc w:val="left"/>
      <w:pPr>
        <w:ind w:left="993" w:hanging="359"/>
      </w:pPr>
      <w:rPr>
        <w:rFonts w:hint="default"/>
      </w:rPr>
    </w:lvl>
    <w:lvl w:ilvl="2" w:tplc="B8D8D6D2">
      <w:numFmt w:val="bullet"/>
      <w:lvlText w:val="•"/>
      <w:lvlJc w:val="left"/>
      <w:pPr>
        <w:ind w:left="1527" w:hanging="359"/>
      </w:pPr>
      <w:rPr>
        <w:rFonts w:hint="default"/>
      </w:rPr>
    </w:lvl>
    <w:lvl w:ilvl="3" w:tplc="E2C65548">
      <w:numFmt w:val="bullet"/>
      <w:lvlText w:val="•"/>
      <w:lvlJc w:val="left"/>
      <w:pPr>
        <w:ind w:left="2061" w:hanging="359"/>
      </w:pPr>
      <w:rPr>
        <w:rFonts w:hint="default"/>
      </w:rPr>
    </w:lvl>
    <w:lvl w:ilvl="4" w:tplc="2BE8CC44">
      <w:numFmt w:val="bullet"/>
      <w:lvlText w:val="•"/>
      <w:lvlJc w:val="left"/>
      <w:pPr>
        <w:ind w:left="2595" w:hanging="359"/>
      </w:pPr>
      <w:rPr>
        <w:rFonts w:hint="default"/>
      </w:rPr>
    </w:lvl>
    <w:lvl w:ilvl="5" w:tplc="FC3C1430">
      <w:numFmt w:val="bullet"/>
      <w:lvlText w:val="•"/>
      <w:lvlJc w:val="left"/>
      <w:pPr>
        <w:ind w:left="3129" w:hanging="359"/>
      </w:pPr>
      <w:rPr>
        <w:rFonts w:hint="default"/>
      </w:rPr>
    </w:lvl>
    <w:lvl w:ilvl="6" w:tplc="C432685A">
      <w:numFmt w:val="bullet"/>
      <w:lvlText w:val="•"/>
      <w:lvlJc w:val="left"/>
      <w:pPr>
        <w:ind w:left="3663" w:hanging="359"/>
      </w:pPr>
      <w:rPr>
        <w:rFonts w:hint="default"/>
      </w:rPr>
    </w:lvl>
    <w:lvl w:ilvl="7" w:tplc="C6C29D0E">
      <w:numFmt w:val="bullet"/>
      <w:lvlText w:val="•"/>
      <w:lvlJc w:val="left"/>
      <w:pPr>
        <w:ind w:left="4197" w:hanging="359"/>
      </w:pPr>
      <w:rPr>
        <w:rFonts w:hint="default"/>
      </w:rPr>
    </w:lvl>
    <w:lvl w:ilvl="8" w:tplc="8E46B434">
      <w:numFmt w:val="bullet"/>
      <w:lvlText w:val="•"/>
      <w:lvlJc w:val="left"/>
      <w:pPr>
        <w:ind w:left="4731" w:hanging="359"/>
      </w:pPr>
      <w:rPr>
        <w:rFonts w:hint="default"/>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FB35B9"/>
    <w:multiLevelType w:val="hybridMultilevel"/>
    <w:tmpl w:val="7BB2B9CE"/>
    <w:lvl w:ilvl="0" w:tplc="BE869E94">
      <w:numFmt w:val="bullet"/>
      <w:lvlText w:val=""/>
      <w:lvlJc w:val="left"/>
      <w:pPr>
        <w:ind w:left="458" w:hanging="358"/>
      </w:pPr>
      <w:rPr>
        <w:rFonts w:ascii="Symbol" w:eastAsia="Symbol" w:hAnsi="Symbol" w:cs="Symbol" w:hint="default"/>
        <w:w w:val="100"/>
        <w:sz w:val="18"/>
        <w:szCs w:val="18"/>
      </w:rPr>
    </w:lvl>
    <w:lvl w:ilvl="1" w:tplc="26AAA91E">
      <w:numFmt w:val="bullet"/>
      <w:lvlText w:val="•"/>
      <w:lvlJc w:val="left"/>
      <w:pPr>
        <w:ind w:left="806" w:hanging="358"/>
      </w:pPr>
      <w:rPr>
        <w:rFonts w:hint="default"/>
      </w:rPr>
    </w:lvl>
    <w:lvl w:ilvl="2" w:tplc="84D08588">
      <w:numFmt w:val="bullet"/>
      <w:lvlText w:val="•"/>
      <w:lvlJc w:val="left"/>
      <w:pPr>
        <w:ind w:left="1152" w:hanging="358"/>
      </w:pPr>
      <w:rPr>
        <w:rFonts w:hint="default"/>
      </w:rPr>
    </w:lvl>
    <w:lvl w:ilvl="3" w:tplc="16C6FE9E">
      <w:numFmt w:val="bullet"/>
      <w:lvlText w:val="•"/>
      <w:lvlJc w:val="left"/>
      <w:pPr>
        <w:ind w:left="1498" w:hanging="358"/>
      </w:pPr>
      <w:rPr>
        <w:rFonts w:hint="default"/>
      </w:rPr>
    </w:lvl>
    <w:lvl w:ilvl="4" w:tplc="85FA4B78">
      <w:numFmt w:val="bullet"/>
      <w:lvlText w:val="•"/>
      <w:lvlJc w:val="left"/>
      <w:pPr>
        <w:ind w:left="1844" w:hanging="358"/>
      </w:pPr>
      <w:rPr>
        <w:rFonts w:hint="default"/>
      </w:rPr>
    </w:lvl>
    <w:lvl w:ilvl="5" w:tplc="A18CEA20">
      <w:numFmt w:val="bullet"/>
      <w:lvlText w:val="•"/>
      <w:lvlJc w:val="left"/>
      <w:pPr>
        <w:ind w:left="2191" w:hanging="358"/>
      </w:pPr>
      <w:rPr>
        <w:rFonts w:hint="default"/>
      </w:rPr>
    </w:lvl>
    <w:lvl w:ilvl="6" w:tplc="88E07A7A">
      <w:numFmt w:val="bullet"/>
      <w:lvlText w:val="•"/>
      <w:lvlJc w:val="left"/>
      <w:pPr>
        <w:ind w:left="2537" w:hanging="358"/>
      </w:pPr>
      <w:rPr>
        <w:rFonts w:hint="default"/>
      </w:rPr>
    </w:lvl>
    <w:lvl w:ilvl="7" w:tplc="033EDDC8">
      <w:numFmt w:val="bullet"/>
      <w:lvlText w:val="•"/>
      <w:lvlJc w:val="left"/>
      <w:pPr>
        <w:ind w:left="2883" w:hanging="358"/>
      </w:pPr>
      <w:rPr>
        <w:rFonts w:hint="default"/>
      </w:rPr>
    </w:lvl>
    <w:lvl w:ilvl="8" w:tplc="C9148E68">
      <w:numFmt w:val="bullet"/>
      <w:lvlText w:val="•"/>
      <w:lvlJc w:val="left"/>
      <w:pPr>
        <w:ind w:left="3229" w:hanging="358"/>
      </w:pPr>
      <w:rPr>
        <w:rFonts w:hint="default"/>
      </w:rPr>
    </w:lvl>
  </w:abstractNum>
  <w:abstractNum w:abstractNumId="15" w15:restartNumberingAfterBreak="0">
    <w:nsid w:val="31F010A3"/>
    <w:multiLevelType w:val="hybridMultilevel"/>
    <w:tmpl w:val="D31EDA6C"/>
    <w:lvl w:ilvl="0" w:tplc="F086CB5A">
      <w:numFmt w:val="bullet"/>
      <w:lvlText w:val=""/>
      <w:lvlJc w:val="left"/>
      <w:pPr>
        <w:ind w:left="458" w:hanging="358"/>
      </w:pPr>
      <w:rPr>
        <w:rFonts w:ascii="Symbol" w:eastAsia="Symbol" w:hAnsi="Symbol" w:cs="Symbol" w:hint="default"/>
        <w:w w:val="100"/>
        <w:sz w:val="18"/>
        <w:szCs w:val="18"/>
      </w:rPr>
    </w:lvl>
    <w:lvl w:ilvl="1" w:tplc="BBA89FC2">
      <w:numFmt w:val="bullet"/>
      <w:lvlText w:val="•"/>
      <w:lvlJc w:val="left"/>
      <w:pPr>
        <w:ind w:left="806" w:hanging="358"/>
      </w:pPr>
      <w:rPr>
        <w:rFonts w:hint="default"/>
      </w:rPr>
    </w:lvl>
    <w:lvl w:ilvl="2" w:tplc="5CA802E0">
      <w:numFmt w:val="bullet"/>
      <w:lvlText w:val="•"/>
      <w:lvlJc w:val="left"/>
      <w:pPr>
        <w:ind w:left="1152" w:hanging="358"/>
      </w:pPr>
      <w:rPr>
        <w:rFonts w:hint="default"/>
      </w:rPr>
    </w:lvl>
    <w:lvl w:ilvl="3" w:tplc="AD287FCC">
      <w:numFmt w:val="bullet"/>
      <w:lvlText w:val="•"/>
      <w:lvlJc w:val="left"/>
      <w:pPr>
        <w:ind w:left="1498" w:hanging="358"/>
      </w:pPr>
      <w:rPr>
        <w:rFonts w:hint="default"/>
      </w:rPr>
    </w:lvl>
    <w:lvl w:ilvl="4" w:tplc="4B7ADBEA">
      <w:numFmt w:val="bullet"/>
      <w:lvlText w:val="•"/>
      <w:lvlJc w:val="left"/>
      <w:pPr>
        <w:ind w:left="1844" w:hanging="358"/>
      </w:pPr>
      <w:rPr>
        <w:rFonts w:hint="default"/>
      </w:rPr>
    </w:lvl>
    <w:lvl w:ilvl="5" w:tplc="298C237A">
      <w:numFmt w:val="bullet"/>
      <w:lvlText w:val="•"/>
      <w:lvlJc w:val="left"/>
      <w:pPr>
        <w:ind w:left="2191" w:hanging="358"/>
      </w:pPr>
      <w:rPr>
        <w:rFonts w:hint="default"/>
      </w:rPr>
    </w:lvl>
    <w:lvl w:ilvl="6" w:tplc="4CBAF426">
      <w:numFmt w:val="bullet"/>
      <w:lvlText w:val="•"/>
      <w:lvlJc w:val="left"/>
      <w:pPr>
        <w:ind w:left="2537" w:hanging="358"/>
      </w:pPr>
      <w:rPr>
        <w:rFonts w:hint="default"/>
      </w:rPr>
    </w:lvl>
    <w:lvl w:ilvl="7" w:tplc="19B46564">
      <w:numFmt w:val="bullet"/>
      <w:lvlText w:val="•"/>
      <w:lvlJc w:val="left"/>
      <w:pPr>
        <w:ind w:left="2883" w:hanging="358"/>
      </w:pPr>
      <w:rPr>
        <w:rFonts w:hint="default"/>
      </w:rPr>
    </w:lvl>
    <w:lvl w:ilvl="8" w:tplc="3E2A39A4">
      <w:numFmt w:val="bullet"/>
      <w:lvlText w:val="•"/>
      <w:lvlJc w:val="left"/>
      <w:pPr>
        <w:ind w:left="3229" w:hanging="358"/>
      </w:pPr>
      <w:rPr>
        <w:rFont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77628C"/>
    <w:multiLevelType w:val="hybridMultilevel"/>
    <w:tmpl w:val="A71C765C"/>
    <w:lvl w:ilvl="0" w:tplc="116EF3E4">
      <w:numFmt w:val="bullet"/>
      <w:lvlText w:val=""/>
      <w:lvlJc w:val="left"/>
      <w:pPr>
        <w:ind w:left="820" w:hanging="360"/>
      </w:pPr>
      <w:rPr>
        <w:rFonts w:ascii="Symbol" w:eastAsia="Symbol" w:hAnsi="Symbol" w:cs="Symbol" w:hint="default"/>
        <w:w w:val="100"/>
        <w:sz w:val="24"/>
        <w:szCs w:val="24"/>
      </w:rPr>
    </w:lvl>
    <w:lvl w:ilvl="1" w:tplc="11E82F14">
      <w:numFmt w:val="bullet"/>
      <w:lvlText w:val="•"/>
      <w:lvlJc w:val="left"/>
      <w:pPr>
        <w:ind w:left="1130" w:hanging="360"/>
      </w:pPr>
      <w:rPr>
        <w:rFonts w:hint="default"/>
      </w:rPr>
    </w:lvl>
    <w:lvl w:ilvl="2" w:tplc="86C6E4B0">
      <w:numFmt w:val="bullet"/>
      <w:lvlText w:val="•"/>
      <w:lvlJc w:val="left"/>
      <w:pPr>
        <w:ind w:left="1440" w:hanging="360"/>
      </w:pPr>
      <w:rPr>
        <w:rFonts w:hint="default"/>
      </w:rPr>
    </w:lvl>
    <w:lvl w:ilvl="3" w:tplc="BD1A3FFC">
      <w:numFmt w:val="bullet"/>
      <w:lvlText w:val="•"/>
      <w:lvlJc w:val="left"/>
      <w:pPr>
        <w:ind w:left="1750" w:hanging="360"/>
      </w:pPr>
      <w:rPr>
        <w:rFonts w:hint="default"/>
      </w:rPr>
    </w:lvl>
    <w:lvl w:ilvl="4" w:tplc="FD8A4B94">
      <w:numFmt w:val="bullet"/>
      <w:lvlText w:val="•"/>
      <w:lvlJc w:val="left"/>
      <w:pPr>
        <w:ind w:left="2060" w:hanging="360"/>
      </w:pPr>
      <w:rPr>
        <w:rFonts w:hint="default"/>
      </w:rPr>
    </w:lvl>
    <w:lvl w:ilvl="5" w:tplc="C5CCBB7C">
      <w:numFmt w:val="bullet"/>
      <w:lvlText w:val="•"/>
      <w:lvlJc w:val="left"/>
      <w:pPr>
        <w:ind w:left="2371" w:hanging="360"/>
      </w:pPr>
      <w:rPr>
        <w:rFonts w:hint="default"/>
      </w:rPr>
    </w:lvl>
    <w:lvl w:ilvl="6" w:tplc="1848E460">
      <w:numFmt w:val="bullet"/>
      <w:lvlText w:val="•"/>
      <w:lvlJc w:val="left"/>
      <w:pPr>
        <w:ind w:left="2681" w:hanging="360"/>
      </w:pPr>
      <w:rPr>
        <w:rFonts w:hint="default"/>
      </w:rPr>
    </w:lvl>
    <w:lvl w:ilvl="7" w:tplc="E7EE2D7A">
      <w:numFmt w:val="bullet"/>
      <w:lvlText w:val="•"/>
      <w:lvlJc w:val="left"/>
      <w:pPr>
        <w:ind w:left="2991" w:hanging="360"/>
      </w:pPr>
      <w:rPr>
        <w:rFonts w:hint="default"/>
      </w:rPr>
    </w:lvl>
    <w:lvl w:ilvl="8" w:tplc="20026292">
      <w:numFmt w:val="bullet"/>
      <w:lvlText w:val="•"/>
      <w:lvlJc w:val="left"/>
      <w:pPr>
        <w:ind w:left="3301" w:hanging="360"/>
      </w:pPr>
      <w:rPr>
        <w:rFont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E0F4D08"/>
    <w:multiLevelType w:val="hybridMultilevel"/>
    <w:tmpl w:val="D5C2228C"/>
    <w:lvl w:ilvl="0" w:tplc="B25C161A">
      <w:numFmt w:val="bullet"/>
      <w:lvlText w:val=""/>
      <w:lvlJc w:val="left"/>
      <w:pPr>
        <w:ind w:left="458" w:hanging="358"/>
      </w:pPr>
      <w:rPr>
        <w:rFonts w:ascii="Symbol" w:eastAsia="Symbol" w:hAnsi="Symbol" w:cs="Symbol" w:hint="default"/>
        <w:w w:val="100"/>
        <w:sz w:val="18"/>
        <w:szCs w:val="18"/>
      </w:rPr>
    </w:lvl>
    <w:lvl w:ilvl="1" w:tplc="3E0E247C">
      <w:numFmt w:val="bullet"/>
      <w:lvlText w:val="•"/>
      <w:lvlJc w:val="left"/>
      <w:pPr>
        <w:ind w:left="806" w:hanging="358"/>
      </w:pPr>
      <w:rPr>
        <w:rFonts w:hint="default"/>
      </w:rPr>
    </w:lvl>
    <w:lvl w:ilvl="2" w:tplc="05BA218E">
      <w:numFmt w:val="bullet"/>
      <w:lvlText w:val="•"/>
      <w:lvlJc w:val="left"/>
      <w:pPr>
        <w:ind w:left="1152" w:hanging="358"/>
      </w:pPr>
      <w:rPr>
        <w:rFonts w:hint="default"/>
      </w:rPr>
    </w:lvl>
    <w:lvl w:ilvl="3" w:tplc="937EC052">
      <w:numFmt w:val="bullet"/>
      <w:lvlText w:val="•"/>
      <w:lvlJc w:val="left"/>
      <w:pPr>
        <w:ind w:left="1498" w:hanging="358"/>
      </w:pPr>
      <w:rPr>
        <w:rFonts w:hint="default"/>
      </w:rPr>
    </w:lvl>
    <w:lvl w:ilvl="4" w:tplc="8868990C">
      <w:numFmt w:val="bullet"/>
      <w:lvlText w:val="•"/>
      <w:lvlJc w:val="left"/>
      <w:pPr>
        <w:ind w:left="1844" w:hanging="358"/>
      </w:pPr>
      <w:rPr>
        <w:rFonts w:hint="default"/>
      </w:rPr>
    </w:lvl>
    <w:lvl w:ilvl="5" w:tplc="F92809AA">
      <w:numFmt w:val="bullet"/>
      <w:lvlText w:val="•"/>
      <w:lvlJc w:val="left"/>
      <w:pPr>
        <w:ind w:left="2191" w:hanging="358"/>
      </w:pPr>
      <w:rPr>
        <w:rFonts w:hint="default"/>
      </w:rPr>
    </w:lvl>
    <w:lvl w:ilvl="6" w:tplc="0882D1D6">
      <w:numFmt w:val="bullet"/>
      <w:lvlText w:val="•"/>
      <w:lvlJc w:val="left"/>
      <w:pPr>
        <w:ind w:left="2537" w:hanging="358"/>
      </w:pPr>
      <w:rPr>
        <w:rFonts w:hint="default"/>
      </w:rPr>
    </w:lvl>
    <w:lvl w:ilvl="7" w:tplc="A51A8666">
      <w:numFmt w:val="bullet"/>
      <w:lvlText w:val="•"/>
      <w:lvlJc w:val="left"/>
      <w:pPr>
        <w:ind w:left="2883" w:hanging="358"/>
      </w:pPr>
      <w:rPr>
        <w:rFonts w:hint="default"/>
      </w:rPr>
    </w:lvl>
    <w:lvl w:ilvl="8" w:tplc="6A247E60">
      <w:numFmt w:val="bullet"/>
      <w:lvlText w:val="•"/>
      <w:lvlJc w:val="left"/>
      <w:pPr>
        <w:ind w:left="3229" w:hanging="358"/>
      </w:pPr>
      <w:rPr>
        <w:rFonts w:hint="default"/>
      </w:rPr>
    </w:lvl>
  </w:abstractNum>
  <w:abstractNum w:abstractNumId="22" w15:restartNumberingAfterBreak="0">
    <w:nsid w:val="4E706935"/>
    <w:multiLevelType w:val="hybridMultilevel"/>
    <w:tmpl w:val="E26E3120"/>
    <w:lvl w:ilvl="0" w:tplc="E80A5940">
      <w:numFmt w:val="bullet"/>
      <w:lvlText w:val=""/>
      <w:lvlJc w:val="left"/>
      <w:pPr>
        <w:ind w:left="821" w:hanging="360"/>
      </w:pPr>
      <w:rPr>
        <w:rFonts w:ascii="Symbol" w:eastAsia="Symbol" w:hAnsi="Symbol" w:cs="Symbol" w:hint="default"/>
        <w:w w:val="100"/>
        <w:sz w:val="24"/>
        <w:szCs w:val="24"/>
      </w:rPr>
    </w:lvl>
    <w:lvl w:ilvl="1" w:tplc="7526A782">
      <w:numFmt w:val="bullet"/>
      <w:lvlText w:val="•"/>
      <w:lvlJc w:val="left"/>
      <w:pPr>
        <w:ind w:left="1318" w:hanging="360"/>
      </w:pPr>
      <w:rPr>
        <w:rFonts w:hint="default"/>
      </w:rPr>
    </w:lvl>
    <w:lvl w:ilvl="2" w:tplc="D78A7758">
      <w:numFmt w:val="bullet"/>
      <w:lvlText w:val="•"/>
      <w:lvlJc w:val="left"/>
      <w:pPr>
        <w:ind w:left="1815" w:hanging="360"/>
      </w:pPr>
      <w:rPr>
        <w:rFonts w:hint="default"/>
      </w:rPr>
    </w:lvl>
    <w:lvl w:ilvl="3" w:tplc="C69013E4">
      <w:numFmt w:val="bullet"/>
      <w:lvlText w:val="•"/>
      <w:lvlJc w:val="left"/>
      <w:pPr>
        <w:ind w:left="2313" w:hanging="360"/>
      </w:pPr>
      <w:rPr>
        <w:rFonts w:hint="default"/>
      </w:rPr>
    </w:lvl>
    <w:lvl w:ilvl="4" w:tplc="6E8EA89A">
      <w:numFmt w:val="bullet"/>
      <w:lvlText w:val="•"/>
      <w:lvlJc w:val="left"/>
      <w:pPr>
        <w:ind w:left="2811" w:hanging="360"/>
      </w:pPr>
      <w:rPr>
        <w:rFonts w:hint="default"/>
      </w:rPr>
    </w:lvl>
    <w:lvl w:ilvl="5" w:tplc="936067B0">
      <w:numFmt w:val="bullet"/>
      <w:lvlText w:val="•"/>
      <w:lvlJc w:val="left"/>
      <w:pPr>
        <w:ind w:left="3309" w:hanging="360"/>
      </w:pPr>
      <w:rPr>
        <w:rFonts w:hint="default"/>
      </w:rPr>
    </w:lvl>
    <w:lvl w:ilvl="6" w:tplc="4E4AC29A">
      <w:numFmt w:val="bullet"/>
      <w:lvlText w:val="•"/>
      <w:lvlJc w:val="left"/>
      <w:pPr>
        <w:ind w:left="3807" w:hanging="360"/>
      </w:pPr>
      <w:rPr>
        <w:rFonts w:hint="default"/>
      </w:rPr>
    </w:lvl>
    <w:lvl w:ilvl="7" w:tplc="37E0FE3E">
      <w:numFmt w:val="bullet"/>
      <w:lvlText w:val="•"/>
      <w:lvlJc w:val="left"/>
      <w:pPr>
        <w:ind w:left="4305" w:hanging="360"/>
      </w:pPr>
      <w:rPr>
        <w:rFonts w:hint="default"/>
      </w:rPr>
    </w:lvl>
    <w:lvl w:ilvl="8" w:tplc="461CFD12">
      <w:numFmt w:val="bullet"/>
      <w:lvlText w:val="•"/>
      <w:lvlJc w:val="left"/>
      <w:pPr>
        <w:ind w:left="4803" w:hanging="360"/>
      </w:pPr>
      <w:rPr>
        <w:rFonts w:hint="default"/>
      </w:rPr>
    </w:lvl>
  </w:abstractNum>
  <w:abstractNum w:abstractNumId="23" w15:restartNumberingAfterBreak="0">
    <w:nsid w:val="58295DED"/>
    <w:multiLevelType w:val="hybridMultilevel"/>
    <w:tmpl w:val="4792219A"/>
    <w:lvl w:ilvl="0" w:tplc="83A0398A">
      <w:numFmt w:val="bullet"/>
      <w:lvlText w:val=""/>
      <w:lvlJc w:val="left"/>
      <w:pPr>
        <w:ind w:left="458" w:hanging="359"/>
      </w:pPr>
      <w:rPr>
        <w:rFonts w:ascii="Symbol" w:eastAsia="Symbol" w:hAnsi="Symbol" w:cs="Symbol" w:hint="default"/>
        <w:w w:val="100"/>
        <w:sz w:val="18"/>
        <w:szCs w:val="18"/>
      </w:rPr>
    </w:lvl>
    <w:lvl w:ilvl="1" w:tplc="D67E59EC">
      <w:numFmt w:val="bullet"/>
      <w:lvlText w:val="•"/>
      <w:lvlJc w:val="left"/>
      <w:pPr>
        <w:ind w:left="993" w:hanging="359"/>
      </w:pPr>
      <w:rPr>
        <w:rFonts w:hint="default"/>
      </w:rPr>
    </w:lvl>
    <w:lvl w:ilvl="2" w:tplc="34A2B808">
      <w:numFmt w:val="bullet"/>
      <w:lvlText w:val="•"/>
      <w:lvlJc w:val="left"/>
      <w:pPr>
        <w:ind w:left="1527" w:hanging="359"/>
      </w:pPr>
      <w:rPr>
        <w:rFonts w:hint="default"/>
      </w:rPr>
    </w:lvl>
    <w:lvl w:ilvl="3" w:tplc="B7B64D6C">
      <w:numFmt w:val="bullet"/>
      <w:lvlText w:val="•"/>
      <w:lvlJc w:val="left"/>
      <w:pPr>
        <w:ind w:left="2061" w:hanging="359"/>
      </w:pPr>
      <w:rPr>
        <w:rFonts w:hint="default"/>
      </w:rPr>
    </w:lvl>
    <w:lvl w:ilvl="4" w:tplc="B69E4436">
      <w:numFmt w:val="bullet"/>
      <w:lvlText w:val="•"/>
      <w:lvlJc w:val="left"/>
      <w:pPr>
        <w:ind w:left="2595" w:hanging="359"/>
      </w:pPr>
      <w:rPr>
        <w:rFonts w:hint="default"/>
      </w:rPr>
    </w:lvl>
    <w:lvl w:ilvl="5" w:tplc="1DBAB846">
      <w:numFmt w:val="bullet"/>
      <w:lvlText w:val="•"/>
      <w:lvlJc w:val="left"/>
      <w:pPr>
        <w:ind w:left="3129" w:hanging="359"/>
      </w:pPr>
      <w:rPr>
        <w:rFonts w:hint="default"/>
      </w:rPr>
    </w:lvl>
    <w:lvl w:ilvl="6" w:tplc="DF6E02D6">
      <w:numFmt w:val="bullet"/>
      <w:lvlText w:val="•"/>
      <w:lvlJc w:val="left"/>
      <w:pPr>
        <w:ind w:left="3663" w:hanging="359"/>
      </w:pPr>
      <w:rPr>
        <w:rFonts w:hint="default"/>
      </w:rPr>
    </w:lvl>
    <w:lvl w:ilvl="7" w:tplc="46DA9480">
      <w:numFmt w:val="bullet"/>
      <w:lvlText w:val="•"/>
      <w:lvlJc w:val="left"/>
      <w:pPr>
        <w:ind w:left="4197" w:hanging="359"/>
      </w:pPr>
      <w:rPr>
        <w:rFonts w:hint="default"/>
      </w:rPr>
    </w:lvl>
    <w:lvl w:ilvl="8" w:tplc="55D2C12C">
      <w:numFmt w:val="bullet"/>
      <w:lvlText w:val="•"/>
      <w:lvlJc w:val="left"/>
      <w:pPr>
        <w:ind w:left="4731" w:hanging="359"/>
      </w:pPr>
      <w:rPr>
        <w:rFonts w:hint="default"/>
      </w:rPr>
    </w:lvl>
  </w:abstractNum>
  <w:abstractNum w:abstractNumId="2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6"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7" w15:restartNumberingAfterBreak="0">
    <w:nsid w:val="5B6C1408"/>
    <w:multiLevelType w:val="hybridMultilevel"/>
    <w:tmpl w:val="2A7C51CE"/>
    <w:lvl w:ilvl="0" w:tplc="8F402514">
      <w:numFmt w:val="bullet"/>
      <w:lvlText w:val=""/>
      <w:lvlJc w:val="left"/>
      <w:pPr>
        <w:ind w:left="458" w:hanging="359"/>
      </w:pPr>
      <w:rPr>
        <w:rFonts w:ascii="Symbol" w:eastAsia="Symbol" w:hAnsi="Symbol" w:cs="Symbol" w:hint="default"/>
        <w:w w:val="100"/>
        <w:sz w:val="18"/>
        <w:szCs w:val="18"/>
      </w:rPr>
    </w:lvl>
    <w:lvl w:ilvl="1" w:tplc="F774E576">
      <w:numFmt w:val="bullet"/>
      <w:lvlText w:val="•"/>
      <w:lvlJc w:val="left"/>
      <w:pPr>
        <w:ind w:left="993" w:hanging="359"/>
      </w:pPr>
      <w:rPr>
        <w:rFonts w:hint="default"/>
      </w:rPr>
    </w:lvl>
    <w:lvl w:ilvl="2" w:tplc="99C6C728">
      <w:numFmt w:val="bullet"/>
      <w:lvlText w:val="•"/>
      <w:lvlJc w:val="left"/>
      <w:pPr>
        <w:ind w:left="1527" w:hanging="359"/>
      </w:pPr>
      <w:rPr>
        <w:rFonts w:hint="default"/>
      </w:rPr>
    </w:lvl>
    <w:lvl w:ilvl="3" w:tplc="BC84A4FA">
      <w:numFmt w:val="bullet"/>
      <w:lvlText w:val="•"/>
      <w:lvlJc w:val="left"/>
      <w:pPr>
        <w:ind w:left="2061" w:hanging="359"/>
      </w:pPr>
      <w:rPr>
        <w:rFonts w:hint="default"/>
      </w:rPr>
    </w:lvl>
    <w:lvl w:ilvl="4" w:tplc="A1A81DC0">
      <w:numFmt w:val="bullet"/>
      <w:lvlText w:val="•"/>
      <w:lvlJc w:val="left"/>
      <w:pPr>
        <w:ind w:left="2595" w:hanging="359"/>
      </w:pPr>
      <w:rPr>
        <w:rFonts w:hint="default"/>
      </w:rPr>
    </w:lvl>
    <w:lvl w:ilvl="5" w:tplc="D786B87A">
      <w:numFmt w:val="bullet"/>
      <w:lvlText w:val="•"/>
      <w:lvlJc w:val="left"/>
      <w:pPr>
        <w:ind w:left="3129" w:hanging="359"/>
      </w:pPr>
      <w:rPr>
        <w:rFonts w:hint="default"/>
      </w:rPr>
    </w:lvl>
    <w:lvl w:ilvl="6" w:tplc="AE44E7B8">
      <w:numFmt w:val="bullet"/>
      <w:lvlText w:val="•"/>
      <w:lvlJc w:val="left"/>
      <w:pPr>
        <w:ind w:left="3663" w:hanging="359"/>
      </w:pPr>
      <w:rPr>
        <w:rFonts w:hint="default"/>
      </w:rPr>
    </w:lvl>
    <w:lvl w:ilvl="7" w:tplc="1A744C6E">
      <w:numFmt w:val="bullet"/>
      <w:lvlText w:val="•"/>
      <w:lvlJc w:val="left"/>
      <w:pPr>
        <w:ind w:left="4197" w:hanging="359"/>
      </w:pPr>
      <w:rPr>
        <w:rFonts w:hint="default"/>
      </w:rPr>
    </w:lvl>
    <w:lvl w:ilvl="8" w:tplc="7B4C7F66">
      <w:numFmt w:val="bullet"/>
      <w:lvlText w:val="•"/>
      <w:lvlJc w:val="left"/>
      <w:pPr>
        <w:ind w:left="4731" w:hanging="359"/>
      </w:pPr>
      <w:rPr>
        <w:rFonts w:hint="default"/>
      </w:rPr>
    </w:lvl>
  </w:abstractNum>
  <w:abstractNum w:abstractNumId="28" w15:restartNumberingAfterBreak="0">
    <w:nsid w:val="5E831CD9"/>
    <w:multiLevelType w:val="hybridMultilevel"/>
    <w:tmpl w:val="A9500E10"/>
    <w:lvl w:ilvl="0" w:tplc="F50C61FE">
      <w:numFmt w:val="bullet"/>
      <w:lvlText w:val=""/>
      <w:lvlJc w:val="left"/>
      <w:pPr>
        <w:ind w:left="458" w:hanging="358"/>
      </w:pPr>
      <w:rPr>
        <w:rFonts w:ascii="Symbol" w:eastAsia="Symbol" w:hAnsi="Symbol" w:cs="Symbol" w:hint="default"/>
        <w:w w:val="100"/>
        <w:sz w:val="18"/>
        <w:szCs w:val="18"/>
      </w:rPr>
    </w:lvl>
    <w:lvl w:ilvl="1" w:tplc="E3EA461C">
      <w:numFmt w:val="bullet"/>
      <w:lvlText w:val="•"/>
      <w:lvlJc w:val="left"/>
      <w:pPr>
        <w:ind w:left="806" w:hanging="358"/>
      </w:pPr>
      <w:rPr>
        <w:rFonts w:hint="default"/>
      </w:rPr>
    </w:lvl>
    <w:lvl w:ilvl="2" w:tplc="F7342522">
      <w:numFmt w:val="bullet"/>
      <w:lvlText w:val="•"/>
      <w:lvlJc w:val="left"/>
      <w:pPr>
        <w:ind w:left="1152" w:hanging="358"/>
      </w:pPr>
      <w:rPr>
        <w:rFonts w:hint="default"/>
      </w:rPr>
    </w:lvl>
    <w:lvl w:ilvl="3" w:tplc="069873A0">
      <w:numFmt w:val="bullet"/>
      <w:lvlText w:val="•"/>
      <w:lvlJc w:val="left"/>
      <w:pPr>
        <w:ind w:left="1498" w:hanging="358"/>
      </w:pPr>
      <w:rPr>
        <w:rFonts w:hint="default"/>
      </w:rPr>
    </w:lvl>
    <w:lvl w:ilvl="4" w:tplc="232E04A2">
      <w:numFmt w:val="bullet"/>
      <w:lvlText w:val="•"/>
      <w:lvlJc w:val="left"/>
      <w:pPr>
        <w:ind w:left="1844" w:hanging="358"/>
      </w:pPr>
      <w:rPr>
        <w:rFonts w:hint="default"/>
      </w:rPr>
    </w:lvl>
    <w:lvl w:ilvl="5" w:tplc="0C8E1E26">
      <w:numFmt w:val="bullet"/>
      <w:lvlText w:val="•"/>
      <w:lvlJc w:val="left"/>
      <w:pPr>
        <w:ind w:left="2191" w:hanging="358"/>
      </w:pPr>
      <w:rPr>
        <w:rFonts w:hint="default"/>
      </w:rPr>
    </w:lvl>
    <w:lvl w:ilvl="6" w:tplc="E1900332">
      <w:numFmt w:val="bullet"/>
      <w:lvlText w:val="•"/>
      <w:lvlJc w:val="left"/>
      <w:pPr>
        <w:ind w:left="2537" w:hanging="358"/>
      </w:pPr>
      <w:rPr>
        <w:rFonts w:hint="default"/>
      </w:rPr>
    </w:lvl>
    <w:lvl w:ilvl="7" w:tplc="F50697D6">
      <w:numFmt w:val="bullet"/>
      <w:lvlText w:val="•"/>
      <w:lvlJc w:val="left"/>
      <w:pPr>
        <w:ind w:left="2883" w:hanging="358"/>
      </w:pPr>
      <w:rPr>
        <w:rFonts w:hint="default"/>
      </w:rPr>
    </w:lvl>
    <w:lvl w:ilvl="8" w:tplc="8F148152">
      <w:numFmt w:val="bullet"/>
      <w:lvlText w:val="•"/>
      <w:lvlJc w:val="left"/>
      <w:pPr>
        <w:ind w:left="3229" w:hanging="358"/>
      </w:pPr>
      <w:rPr>
        <w:rFonts w:hint="default"/>
      </w:rPr>
    </w:lvl>
  </w:abstractNum>
  <w:abstractNum w:abstractNumId="2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15:restartNumberingAfterBreak="0">
    <w:nsid w:val="61292982"/>
    <w:multiLevelType w:val="hybridMultilevel"/>
    <w:tmpl w:val="33ACD6B2"/>
    <w:lvl w:ilvl="0" w:tplc="E654D9F2">
      <w:numFmt w:val="bullet"/>
      <w:lvlText w:val=""/>
      <w:lvlJc w:val="left"/>
      <w:pPr>
        <w:ind w:left="458" w:hanging="359"/>
      </w:pPr>
      <w:rPr>
        <w:rFonts w:ascii="Symbol" w:eastAsia="Symbol" w:hAnsi="Symbol" w:cs="Symbol" w:hint="default"/>
        <w:w w:val="100"/>
        <w:sz w:val="18"/>
        <w:szCs w:val="18"/>
      </w:rPr>
    </w:lvl>
    <w:lvl w:ilvl="1" w:tplc="91144A56">
      <w:numFmt w:val="bullet"/>
      <w:lvlText w:val="•"/>
      <w:lvlJc w:val="left"/>
      <w:pPr>
        <w:ind w:left="993" w:hanging="359"/>
      </w:pPr>
      <w:rPr>
        <w:rFonts w:hint="default"/>
      </w:rPr>
    </w:lvl>
    <w:lvl w:ilvl="2" w:tplc="5BD8C1F8">
      <w:numFmt w:val="bullet"/>
      <w:lvlText w:val="•"/>
      <w:lvlJc w:val="left"/>
      <w:pPr>
        <w:ind w:left="1527" w:hanging="359"/>
      </w:pPr>
      <w:rPr>
        <w:rFonts w:hint="default"/>
      </w:rPr>
    </w:lvl>
    <w:lvl w:ilvl="3" w:tplc="F4DAEACE">
      <w:numFmt w:val="bullet"/>
      <w:lvlText w:val="•"/>
      <w:lvlJc w:val="left"/>
      <w:pPr>
        <w:ind w:left="2061" w:hanging="359"/>
      </w:pPr>
      <w:rPr>
        <w:rFonts w:hint="default"/>
      </w:rPr>
    </w:lvl>
    <w:lvl w:ilvl="4" w:tplc="A5A097D6">
      <w:numFmt w:val="bullet"/>
      <w:lvlText w:val="•"/>
      <w:lvlJc w:val="left"/>
      <w:pPr>
        <w:ind w:left="2595" w:hanging="359"/>
      </w:pPr>
      <w:rPr>
        <w:rFonts w:hint="default"/>
      </w:rPr>
    </w:lvl>
    <w:lvl w:ilvl="5" w:tplc="6550353A">
      <w:numFmt w:val="bullet"/>
      <w:lvlText w:val="•"/>
      <w:lvlJc w:val="left"/>
      <w:pPr>
        <w:ind w:left="3129" w:hanging="359"/>
      </w:pPr>
      <w:rPr>
        <w:rFonts w:hint="default"/>
      </w:rPr>
    </w:lvl>
    <w:lvl w:ilvl="6" w:tplc="59BC1CB2">
      <w:numFmt w:val="bullet"/>
      <w:lvlText w:val="•"/>
      <w:lvlJc w:val="left"/>
      <w:pPr>
        <w:ind w:left="3663" w:hanging="359"/>
      </w:pPr>
      <w:rPr>
        <w:rFonts w:hint="default"/>
      </w:rPr>
    </w:lvl>
    <w:lvl w:ilvl="7" w:tplc="5B149BE2">
      <w:numFmt w:val="bullet"/>
      <w:lvlText w:val="•"/>
      <w:lvlJc w:val="left"/>
      <w:pPr>
        <w:ind w:left="4197" w:hanging="359"/>
      </w:pPr>
      <w:rPr>
        <w:rFonts w:hint="default"/>
      </w:rPr>
    </w:lvl>
    <w:lvl w:ilvl="8" w:tplc="C2DAB092">
      <w:numFmt w:val="bullet"/>
      <w:lvlText w:val="•"/>
      <w:lvlJc w:val="left"/>
      <w:pPr>
        <w:ind w:left="4731" w:hanging="359"/>
      </w:pPr>
      <w:rPr>
        <w:rFonts w:hint="default"/>
      </w:rPr>
    </w:lvl>
  </w:abstractNum>
  <w:abstractNum w:abstractNumId="3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15:restartNumberingAfterBreak="0">
    <w:nsid w:val="6E7F4095"/>
    <w:multiLevelType w:val="hybridMultilevel"/>
    <w:tmpl w:val="86145130"/>
    <w:lvl w:ilvl="0" w:tplc="08E0C238">
      <w:numFmt w:val="bullet"/>
      <w:lvlText w:val=""/>
      <w:lvlJc w:val="left"/>
      <w:pPr>
        <w:ind w:left="473" w:hanging="359"/>
      </w:pPr>
      <w:rPr>
        <w:rFonts w:ascii="Symbol" w:eastAsia="Symbol" w:hAnsi="Symbol" w:cs="Symbol" w:hint="default"/>
        <w:w w:val="100"/>
        <w:sz w:val="18"/>
        <w:szCs w:val="18"/>
      </w:rPr>
    </w:lvl>
    <w:lvl w:ilvl="1" w:tplc="610C93FC">
      <w:numFmt w:val="bullet"/>
      <w:lvlText w:val="○"/>
      <w:lvlJc w:val="left"/>
      <w:pPr>
        <w:ind w:left="828" w:hanging="356"/>
      </w:pPr>
      <w:rPr>
        <w:rFonts w:ascii="Courier New" w:eastAsia="Courier New" w:hAnsi="Courier New" w:cs="Courier New" w:hint="default"/>
        <w:w w:val="100"/>
        <w:sz w:val="16"/>
        <w:szCs w:val="16"/>
      </w:rPr>
    </w:lvl>
    <w:lvl w:ilvl="2" w:tplc="C6788B66">
      <w:numFmt w:val="bullet"/>
      <w:lvlText w:val="•"/>
      <w:lvlJc w:val="left"/>
      <w:pPr>
        <w:ind w:left="1374" w:hanging="356"/>
      </w:pPr>
      <w:rPr>
        <w:rFonts w:hint="default"/>
      </w:rPr>
    </w:lvl>
    <w:lvl w:ilvl="3" w:tplc="4E2C5360">
      <w:numFmt w:val="bullet"/>
      <w:lvlText w:val="•"/>
      <w:lvlJc w:val="left"/>
      <w:pPr>
        <w:ind w:left="1929" w:hanging="356"/>
      </w:pPr>
      <w:rPr>
        <w:rFonts w:hint="default"/>
      </w:rPr>
    </w:lvl>
    <w:lvl w:ilvl="4" w:tplc="DF0A32AA">
      <w:numFmt w:val="bullet"/>
      <w:lvlText w:val="•"/>
      <w:lvlJc w:val="left"/>
      <w:pPr>
        <w:ind w:left="2484" w:hanging="356"/>
      </w:pPr>
      <w:rPr>
        <w:rFonts w:hint="default"/>
      </w:rPr>
    </w:lvl>
    <w:lvl w:ilvl="5" w:tplc="0504E636">
      <w:numFmt w:val="bullet"/>
      <w:lvlText w:val="•"/>
      <w:lvlJc w:val="left"/>
      <w:pPr>
        <w:ind w:left="3039" w:hanging="356"/>
      </w:pPr>
      <w:rPr>
        <w:rFonts w:hint="default"/>
      </w:rPr>
    </w:lvl>
    <w:lvl w:ilvl="6" w:tplc="5A20D3F2">
      <w:numFmt w:val="bullet"/>
      <w:lvlText w:val="•"/>
      <w:lvlJc w:val="left"/>
      <w:pPr>
        <w:ind w:left="3594" w:hanging="356"/>
      </w:pPr>
      <w:rPr>
        <w:rFonts w:hint="default"/>
      </w:rPr>
    </w:lvl>
    <w:lvl w:ilvl="7" w:tplc="773808C4">
      <w:numFmt w:val="bullet"/>
      <w:lvlText w:val="•"/>
      <w:lvlJc w:val="left"/>
      <w:pPr>
        <w:ind w:left="4149" w:hanging="356"/>
      </w:pPr>
      <w:rPr>
        <w:rFonts w:hint="default"/>
      </w:rPr>
    </w:lvl>
    <w:lvl w:ilvl="8" w:tplc="9FE6E55C">
      <w:numFmt w:val="bullet"/>
      <w:lvlText w:val="•"/>
      <w:lvlJc w:val="left"/>
      <w:pPr>
        <w:ind w:left="4704" w:hanging="356"/>
      </w:pPr>
      <w:rPr>
        <w:rFonts w:hint="default"/>
      </w:rPr>
    </w:lvl>
  </w:abstractNum>
  <w:abstractNum w:abstractNumId="3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8" w15:restartNumberingAfterBreak="0">
    <w:nsid w:val="76C6506C"/>
    <w:multiLevelType w:val="hybridMultilevel"/>
    <w:tmpl w:val="89A04FF4"/>
    <w:lvl w:ilvl="0" w:tplc="C21A1248">
      <w:numFmt w:val="bullet"/>
      <w:lvlText w:val=""/>
      <w:lvlJc w:val="left"/>
      <w:pPr>
        <w:ind w:left="460" w:hanging="358"/>
      </w:pPr>
      <w:rPr>
        <w:rFonts w:ascii="Symbol" w:eastAsia="Symbol" w:hAnsi="Symbol" w:cs="Symbol" w:hint="default"/>
        <w:w w:val="100"/>
        <w:sz w:val="18"/>
        <w:szCs w:val="18"/>
      </w:rPr>
    </w:lvl>
    <w:lvl w:ilvl="1" w:tplc="B578414A">
      <w:numFmt w:val="bullet"/>
      <w:lvlText w:val=""/>
      <w:lvlJc w:val="left"/>
      <w:pPr>
        <w:ind w:left="823" w:hanging="361"/>
      </w:pPr>
      <w:rPr>
        <w:rFonts w:ascii="Symbol" w:eastAsia="Symbol" w:hAnsi="Symbol" w:cs="Symbol" w:hint="default"/>
        <w:w w:val="100"/>
        <w:sz w:val="24"/>
        <w:szCs w:val="24"/>
      </w:rPr>
    </w:lvl>
    <w:lvl w:ilvl="2" w:tplc="3F8071E2">
      <w:numFmt w:val="bullet"/>
      <w:lvlText w:val="•"/>
      <w:lvlJc w:val="left"/>
      <w:pPr>
        <w:ind w:left="1270" w:hanging="361"/>
      </w:pPr>
      <w:rPr>
        <w:rFonts w:hint="default"/>
      </w:rPr>
    </w:lvl>
    <w:lvl w:ilvl="3" w:tplc="8DE6432C">
      <w:numFmt w:val="bullet"/>
      <w:lvlText w:val="•"/>
      <w:lvlJc w:val="left"/>
      <w:pPr>
        <w:ind w:left="1721" w:hanging="361"/>
      </w:pPr>
      <w:rPr>
        <w:rFonts w:hint="default"/>
      </w:rPr>
    </w:lvl>
    <w:lvl w:ilvl="4" w:tplc="727A0F92">
      <w:numFmt w:val="bullet"/>
      <w:lvlText w:val="•"/>
      <w:lvlJc w:val="left"/>
      <w:pPr>
        <w:ind w:left="2171" w:hanging="361"/>
      </w:pPr>
      <w:rPr>
        <w:rFonts w:hint="default"/>
      </w:rPr>
    </w:lvl>
    <w:lvl w:ilvl="5" w:tplc="D8944FC4">
      <w:numFmt w:val="bullet"/>
      <w:lvlText w:val="•"/>
      <w:lvlJc w:val="left"/>
      <w:pPr>
        <w:ind w:left="2622" w:hanging="361"/>
      </w:pPr>
      <w:rPr>
        <w:rFonts w:hint="default"/>
      </w:rPr>
    </w:lvl>
    <w:lvl w:ilvl="6" w:tplc="82D0C468">
      <w:numFmt w:val="bullet"/>
      <w:lvlText w:val="•"/>
      <w:lvlJc w:val="left"/>
      <w:pPr>
        <w:ind w:left="3073" w:hanging="361"/>
      </w:pPr>
      <w:rPr>
        <w:rFonts w:hint="default"/>
      </w:rPr>
    </w:lvl>
    <w:lvl w:ilvl="7" w:tplc="5D46A85C">
      <w:numFmt w:val="bullet"/>
      <w:lvlText w:val="•"/>
      <w:lvlJc w:val="left"/>
      <w:pPr>
        <w:ind w:left="3523" w:hanging="361"/>
      </w:pPr>
      <w:rPr>
        <w:rFonts w:hint="default"/>
      </w:rPr>
    </w:lvl>
    <w:lvl w:ilvl="8" w:tplc="6D76E65E">
      <w:numFmt w:val="bullet"/>
      <w:lvlText w:val="•"/>
      <w:lvlJc w:val="left"/>
      <w:pPr>
        <w:ind w:left="3974" w:hanging="361"/>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9"/>
  </w:num>
  <w:num w:numId="9">
    <w:abstractNumId w:val="19"/>
  </w:num>
  <w:num w:numId="10">
    <w:abstractNumId w:val="12"/>
  </w:num>
  <w:num w:numId="11">
    <w:abstractNumId w:val="30"/>
  </w:num>
  <w:num w:numId="12">
    <w:abstractNumId w:val="33"/>
  </w:num>
  <w:num w:numId="13">
    <w:abstractNumId w:val="35"/>
  </w:num>
  <w:num w:numId="14">
    <w:abstractNumId w:val="8"/>
  </w:num>
  <w:num w:numId="15">
    <w:abstractNumId w:val="16"/>
  </w:num>
  <w:num w:numId="16">
    <w:abstractNumId w:val="37"/>
  </w:num>
  <w:num w:numId="17">
    <w:abstractNumId w:val="34"/>
  </w:num>
  <w:num w:numId="18">
    <w:abstractNumId w:val="32"/>
  </w:num>
  <w:num w:numId="19">
    <w:abstractNumId w:val="20"/>
  </w:num>
  <w:num w:numId="20">
    <w:abstractNumId w:val="17"/>
  </w:num>
  <w:num w:numId="21">
    <w:abstractNumId w:val="11"/>
  </w:num>
  <w:num w:numId="22">
    <w:abstractNumId w:val="7"/>
  </w:num>
  <w:num w:numId="23">
    <w:abstractNumId w:val="13"/>
  </w:num>
  <w:num w:numId="24">
    <w:abstractNumId w:val="10"/>
  </w:num>
  <w:num w:numId="25">
    <w:abstractNumId w:val="26"/>
  </w:num>
  <w:num w:numId="26">
    <w:abstractNumId w:val="25"/>
  </w:num>
  <w:num w:numId="27">
    <w:abstractNumId w:val="30"/>
  </w:num>
  <w:num w:numId="28">
    <w:abstractNumId w:val="33"/>
  </w:num>
  <w:num w:numId="29">
    <w:abstractNumId w:val="30"/>
  </w:num>
  <w:num w:numId="30">
    <w:abstractNumId w:val="30"/>
  </w:num>
  <w:num w:numId="31">
    <w:abstractNumId w:val="33"/>
  </w:num>
  <w:num w:numId="32">
    <w:abstractNumId w:val="33"/>
  </w:num>
  <w:num w:numId="33">
    <w:abstractNumId w:val="33"/>
  </w:num>
  <w:num w:numId="34">
    <w:abstractNumId w:val="14"/>
  </w:num>
  <w:num w:numId="35">
    <w:abstractNumId w:val="22"/>
  </w:num>
  <w:num w:numId="36">
    <w:abstractNumId w:val="18"/>
  </w:num>
  <w:num w:numId="37">
    <w:abstractNumId w:val="36"/>
  </w:num>
  <w:num w:numId="38">
    <w:abstractNumId w:val="6"/>
  </w:num>
  <w:num w:numId="39">
    <w:abstractNumId w:val="27"/>
  </w:num>
  <w:num w:numId="40">
    <w:abstractNumId w:val="28"/>
  </w:num>
  <w:num w:numId="41">
    <w:abstractNumId w:val="9"/>
  </w:num>
  <w:num w:numId="42">
    <w:abstractNumId w:val="15"/>
  </w:num>
  <w:num w:numId="43">
    <w:abstractNumId w:val="23"/>
  </w:num>
  <w:num w:numId="44">
    <w:abstractNumId w:val="31"/>
  </w:num>
  <w:num w:numId="45">
    <w:abstractNumId w:val="21"/>
  </w:num>
  <w:num w:numId="46">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75"/>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B7001"/>
    <w:rsid w:val="000D61F6"/>
    <w:rsid w:val="000E3240"/>
    <w:rsid w:val="000E677B"/>
    <w:rsid w:val="000F4ADF"/>
    <w:rsid w:val="000F61AF"/>
    <w:rsid w:val="0010171C"/>
    <w:rsid w:val="00102FAD"/>
    <w:rsid w:val="00105000"/>
    <w:rsid w:val="001113E5"/>
    <w:rsid w:val="00121870"/>
    <w:rsid w:val="00126FDE"/>
    <w:rsid w:val="0013703F"/>
    <w:rsid w:val="00140ED2"/>
    <w:rsid w:val="00143E7C"/>
    <w:rsid w:val="0014415C"/>
    <w:rsid w:val="0014565E"/>
    <w:rsid w:val="001536C9"/>
    <w:rsid w:val="0016433D"/>
    <w:rsid w:val="001676BD"/>
    <w:rsid w:val="00184C0F"/>
    <w:rsid w:val="001A1383"/>
    <w:rsid w:val="001A5F55"/>
    <w:rsid w:val="001B085C"/>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60F3"/>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E8E"/>
    <w:rsid w:val="002A4FE7"/>
    <w:rsid w:val="002B0B6A"/>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E6C99"/>
    <w:rsid w:val="003F1357"/>
    <w:rsid w:val="003F2B58"/>
    <w:rsid w:val="003F52D2"/>
    <w:rsid w:val="003F5886"/>
    <w:rsid w:val="0040020C"/>
    <w:rsid w:val="00401CA0"/>
    <w:rsid w:val="0040700B"/>
    <w:rsid w:val="00407F54"/>
    <w:rsid w:val="00410084"/>
    <w:rsid w:val="00411341"/>
    <w:rsid w:val="00413966"/>
    <w:rsid w:val="004139C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18A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6C66"/>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7254"/>
    <w:rsid w:val="005D3066"/>
    <w:rsid w:val="005D6013"/>
    <w:rsid w:val="005E4B13"/>
    <w:rsid w:val="005E4C02"/>
    <w:rsid w:val="005F01DF"/>
    <w:rsid w:val="005F4EEB"/>
    <w:rsid w:val="005F76CC"/>
    <w:rsid w:val="005F7FE0"/>
    <w:rsid w:val="005F7FF8"/>
    <w:rsid w:val="006004C4"/>
    <w:rsid w:val="00600CA4"/>
    <w:rsid w:val="0060145F"/>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5BFF"/>
    <w:rsid w:val="00737813"/>
    <w:rsid w:val="00755142"/>
    <w:rsid w:val="00756BB7"/>
    <w:rsid w:val="0075764B"/>
    <w:rsid w:val="00760C01"/>
    <w:rsid w:val="00761293"/>
    <w:rsid w:val="00767C04"/>
    <w:rsid w:val="007736A2"/>
    <w:rsid w:val="007A6226"/>
    <w:rsid w:val="007B07BF"/>
    <w:rsid w:val="007B3C61"/>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23A87"/>
    <w:rsid w:val="00927482"/>
    <w:rsid w:val="00936FF5"/>
    <w:rsid w:val="00940A91"/>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4AE6"/>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437A"/>
    <w:rsid w:val="00B855A6"/>
    <w:rsid w:val="00B90EE6"/>
    <w:rsid w:val="00B91098"/>
    <w:rsid w:val="00B91904"/>
    <w:rsid w:val="00B92735"/>
    <w:rsid w:val="00B969ED"/>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5A13"/>
    <w:rsid w:val="00C238D9"/>
    <w:rsid w:val="00C24A9D"/>
    <w:rsid w:val="00C2677E"/>
    <w:rsid w:val="00C31542"/>
    <w:rsid w:val="00C32604"/>
    <w:rsid w:val="00C5028E"/>
    <w:rsid w:val="00C54E78"/>
    <w:rsid w:val="00C6078D"/>
    <w:rsid w:val="00C657CF"/>
    <w:rsid w:val="00C65830"/>
    <w:rsid w:val="00C80D62"/>
    <w:rsid w:val="00C8388B"/>
    <w:rsid w:val="00C84944"/>
    <w:rsid w:val="00C90217"/>
    <w:rsid w:val="00C9532B"/>
    <w:rsid w:val="00C96BFD"/>
    <w:rsid w:val="00C96C98"/>
    <w:rsid w:val="00CA5358"/>
    <w:rsid w:val="00CB1DCA"/>
    <w:rsid w:val="00CD502A"/>
    <w:rsid w:val="00CD7F74"/>
    <w:rsid w:val="00CF0C77"/>
    <w:rsid w:val="00CF12CF"/>
    <w:rsid w:val="00CF4BE3"/>
    <w:rsid w:val="00D060D2"/>
    <w:rsid w:val="00D13E2D"/>
    <w:rsid w:val="00D14394"/>
    <w:rsid w:val="00D242CD"/>
    <w:rsid w:val="00D26F74"/>
    <w:rsid w:val="00D341C3"/>
    <w:rsid w:val="00D42843"/>
    <w:rsid w:val="00D43F10"/>
    <w:rsid w:val="00D43FDE"/>
    <w:rsid w:val="00D5152A"/>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0D40"/>
    <w:rsid w:val="00EA2ED4"/>
    <w:rsid w:val="00EA491A"/>
    <w:rsid w:val="00EA6AD8"/>
    <w:rsid w:val="00EA6B1E"/>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250AB"/>
    <w:rsid w:val="00F337BF"/>
    <w:rsid w:val="00F33D14"/>
    <w:rsid w:val="00F473B6"/>
    <w:rsid w:val="00F52E57"/>
    <w:rsid w:val="00F53E06"/>
    <w:rsid w:val="00F54188"/>
    <w:rsid w:val="00F54CC0"/>
    <w:rsid w:val="00F727A5"/>
    <w:rsid w:val="00F81C70"/>
    <w:rsid w:val="00F847A9"/>
    <w:rsid w:val="00FA5FE9"/>
    <w:rsid w:val="00FA67D2"/>
    <w:rsid w:val="00FB1990"/>
    <w:rsid w:val="00FB302F"/>
    <w:rsid w:val="00FB5A92"/>
    <w:rsid w:val="00FC1C69"/>
    <w:rsid w:val="00FC3739"/>
    <w:rsid w:val="00FE2F6B"/>
    <w:rsid w:val="00FE5AD9"/>
    <w:rsid w:val="00FE7A33"/>
    <w:rsid w:val="00FF3414"/>
    <w:rsid w:val="00FF43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395D65"/>
  <w15:docId w15:val="{C6C4DAB0-FAF4-4AD1-8FC7-285E09CA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1"/>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TableParagraph">
    <w:name w:val="Table Paragraph"/>
    <w:basedOn w:val="Normal"/>
    <w:uiPriority w:val="1"/>
    <w:qFormat/>
    <w:rsid w:val="00FF4375"/>
    <w:pPr>
      <w:widowControl w:val="0"/>
      <w:spacing w:before="118" w:after="0"/>
      <w:ind w:left="103"/>
    </w:pPr>
    <w:rPr>
      <w:rFonts w:eastAsia="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Specialist_v7/$file/DIA_Profile_Specialist_v7.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4</Value>
      <Value>570</Value>
      <Value>199</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National Library</TermName>
          <TermId xmlns="http://schemas.microsoft.com/office/infopath/2007/PartnerControls">9351619d-2610-407e-b49d-c2a2063292e1</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4V7JHWUKMACF-1449644632-963</_dlc_DocId>
    <_dlc_DocIdUrl xmlns="ce404f2c-b0eb-493e-ac64-5bd3de555ba4">
      <Url>https://dia.cohesion.net.nz/Sites/PEO/JDE/JDS/_layouts/15/DocIdRedir.aspx?ID=4V7JHWUKMACF-1449644632-963</Url>
      <Description>4V7JHWUKMACF-1449644632-963</Description>
    </_dlc_DocIdUrl>
  </documentManagement>
</p:properties>
</file>

<file path=customXml/itemProps1.xml><?xml version="1.0" encoding="utf-8"?>
<ds:datastoreItem xmlns:ds="http://schemas.openxmlformats.org/officeDocument/2006/customXml" ds:itemID="{CAA0A327-A14B-47B1-89F5-064E7377F1E7}">
  <ds:schemaRefs>
    <ds:schemaRef ds:uri="http://schemas.openxmlformats.org/officeDocument/2006/bibliography"/>
  </ds:schemaRefs>
</ds:datastoreItem>
</file>

<file path=customXml/itemProps2.xml><?xml version="1.0" encoding="utf-8"?>
<ds:datastoreItem xmlns:ds="http://schemas.openxmlformats.org/officeDocument/2006/customXml" ds:itemID="{F3BADBCF-B670-45AF-BFC1-DB6819AFA30C}"/>
</file>

<file path=customXml/itemProps3.xml><?xml version="1.0" encoding="utf-8"?>
<ds:datastoreItem xmlns:ds="http://schemas.openxmlformats.org/officeDocument/2006/customXml" ds:itemID="{CC3404FA-FF76-4750-90D2-8689325D21E8}"/>
</file>

<file path=customXml/itemProps4.xml><?xml version="1.0" encoding="utf-8"?>
<ds:datastoreItem xmlns:ds="http://schemas.openxmlformats.org/officeDocument/2006/customXml" ds:itemID="{5933EC29-047C-4402-8CF2-F3F1FA3B57F8}"/>
</file>

<file path=customXml/itemProps5.xml><?xml version="1.0" encoding="utf-8"?>
<ds:datastoreItem xmlns:ds="http://schemas.openxmlformats.org/officeDocument/2006/customXml" ds:itemID="{44206987-2F1D-4B45-BAA4-9A2627511142}"/>
</file>

<file path=docProps/app.xml><?xml version="1.0" encoding="utf-8"?>
<Properties xmlns="http://schemas.openxmlformats.org/officeDocument/2006/extended-properties" xmlns:vt="http://schemas.openxmlformats.org/officeDocument/2006/docPropsVTypes">
  <Template>Specialist JD</Template>
  <TotalTime>36</TotalTime>
  <Pages>7</Pages>
  <Words>1714</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Moran</dc:creator>
  <cp:keywords/>
  <cp:lastModifiedBy>Michelle Cornel</cp:lastModifiedBy>
  <cp:revision>4</cp:revision>
  <cp:lastPrinted>2020-06-24T23:01:00Z</cp:lastPrinted>
  <dcterms:created xsi:type="dcterms:W3CDTF">2020-07-28T04:13:00Z</dcterms:created>
  <dcterms:modified xsi:type="dcterms:W3CDTF">2020-08-02T22:43:00Z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0x0101005496552013C0BA46BE88192D5C6EB20B0031F30CFD6B2244409318FB656FECFFE8001A478E0B5BBFAD48A5A10860D5F90F27</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199;#Information and Knowledge Services (IKS)|3e348ab4-48ee-4532-b7e2-d7d980249bb4</vt:lpwstr>
  </property>
  <property fmtid="{D5CDD505-2E9C-101B-9397-08002B2CF9AE}" pid="6" name="DIABusinessGroup">
    <vt:lpwstr>570;#National Library|9351619d-2610-407e-b49d-c2a2063292e1</vt:lpwstr>
  </property>
  <property fmtid="{D5CDD505-2E9C-101B-9397-08002B2CF9AE}" pid="7" name="_dlc_DocIdItemGuid">
    <vt:lpwstr>dc081e98-935a-4f11-a6e7-319e1421a4d6</vt:lpwstr>
  </property>
  <property fmtid="{D5CDD505-2E9C-101B-9397-08002B2CF9AE}" pid="8" name="TaxKeyword">
    <vt:lpwstr/>
  </property>
  <property fmtid="{D5CDD505-2E9C-101B-9397-08002B2CF9AE}" pid="9" name="DIAAdministrationDocumentType">
    <vt:lpwstr/>
  </property>
  <property fmtid="{D5CDD505-2E9C-101B-9397-08002B2CF9AE}" pid="10" name="DIAMeetingDocumentType">
    <vt:lpwstr/>
  </property>
  <property fmtid="{D5CDD505-2E9C-101B-9397-08002B2CF9AE}" pid="11" name="fa525ba192404975a66fed9c22b2ead5">
    <vt:lpwstr/>
  </property>
  <property fmtid="{D5CDD505-2E9C-101B-9397-08002B2CF9AE}" pid="12" name="C3Topic">
    <vt:lpwstr/>
  </property>
  <property fmtid="{D5CDD505-2E9C-101B-9397-08002B2CF9AE}" pid="13" name="k637144f3e274b809739df325940a5b6">
    <vt:lpwstr/>
  </property>
  <property fmtid="{D5CDD505-2E9C-101B-9397-08002B2CF9AE}" pid="14" name="DIASecurityClassification">
    <vt:lpwstr>1;#UNCLASSIFIED|875d92a8-67e2-4a32-9472-8fe99549e1eb</vt:lpwstr>
  </property>
  <property fmtid="{D5CDD505-2E9C-101B-9397-08002B2CF9AE}" pid="15" name="DIAEmailContentType">
    <vt:lpwstr>4;#Correspondence|dcd6b05f-dc80-4336-b228-09aebf3d212c</vt:lpwstr>
  </property>
</Properties>
</file>