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8A64B" w14:textId="77777777" w:rsidR="00A771DF" w:rsidRDefault="00A26593">
      <w:pPr>
        <w:pStyle w:val="BodyText"/>
        <w:ind w:left="148"/>
        <w:rPr>
          <w:rFonts w:ascii="Times New Roman"/>
          <w:sz w:val="20"/>
        </w:rPr>
      </w:pPr>
      <w:r>
        <w:rPr>
          <w:rFonts w:ascii="Times New Roman"/>
          <w:noProof/>
          <w:sz w:val="20"/>
          <w:lang w:val="en-NZ" w:eastAsia="en-NZ"/>
        </w:rPr>
        <w:drawing>
          <wp:inline distT="0" distB="0" distL="0" distR="0" wp14:anchorId="0458A759" wp14:editId="0458A75A">
            <wp:extent cx="6822943" cy="15621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6822943" cy="1562100"/>
                    </a:xfrm>
                    <a:prstGeom prst="rect">
                      <a:avLst/>
                    </a:prstGeom>
                  </pic:spPr>
                </pic:pic>
              </a:graphicData>
            </a:graphic>
          </wp:inline>
        </w:drawing>
      </w:r>
    </w:p>
    <w:p w14:paraId="0458A64C" w14:textId="77777777" w:rsidR="00A771DF" w:rsidRDefault="00A771DF">
      <w:pPr>
        <w:pStyle w:val="BodyText"/>
        <w:rPr>
          <w:rFonts w:ascii="Times New Roman"/>
          <w:sz w:val="22"/>
        </w:rPr>
      </w:pPr>
    </w:p>
    <w:p w14:paraId="0458A64D" w14:textId="77777777" w:rsidR="00A771DF" w:rsidRDefault="00A26593">
      <w:pPr>
        <w:spacing w:line="631" w:lineRule="exact"/>
        <w:ind w:left="146" w:right="321"/>
        <w:rPr>
          <w:b/>
          <w:sz w:val="52"/>
        </w:rPr>
      </w:pPr>
      <w:r>
        <w:rPr>
          <w:b/>
          <w:color w:val="1F536B"/>
          <w:sz w:val="52"/>
        </w:rPr>
        <w:t>Commercial Contracts Manager</w:t>
      </w:r>
    </w:p>
    <w:p w14:paraId="3D1BB22E" w14:textId="77777777" w:rsidR="00BF00F4" w:rsidRPr="00BF00F4" w:rsidRDefault="00BF00F4" w:rsidP="00BF00F4">
      <w:pPr>
        <w:pStyle w:val="BodyText"/>
        <w:spacing w:before="123"/>
        <w:ind w:left="146" w:right="321"/>
        <w:rPr>
          <w:b/>
          <w:bCs/>
          <w:iCs/>
          <w:color w:val="1F536B"/>
          <w:sz w:val="32"/>
          <w:szCs w:val="32"/>
          <w:lang w:val="en-NZ"/>
        </w:rPr>
      </w:pPr>
      <w:r w:rsidRPr="00BF00F4">
        <w:rPr>
          <w:b/>
          <w:bCs/>
          <w:iCs/>
          <w:color w:val="1F536B"/>
          <w:sz w:val="32"/>
          <w:szCs w:val="32"/>
          <w:lang w:val="en-NZ"/>
        </w:rPr>
        <w:t>All of Government Services Delivery (AoG SD), Digital Public Services branch</w:t>
      </w:r>
    </w:p>
    <w:p w14:paraId="17E0C1CF" w14:textId="7E237CF7" w:rsidR="000F4E17" w:rsidRPr="000F4E17" w:rsidRDefault="00A26593" w:rsidP="000F4E17">
      <w:pPr>
        <w:pStyle w:val="BodyText"/>
        <w:spacing w:before="123"/>
        <w:ind w:left="146" w:right="321"/>
        <w:rPr>
          <w:sz w:val="22"/>
          <w:szCs w:val="22"/>
        </w:rPr>
      </w:pPr>
      <w:r w:rsidRPr="000F4E17">
        <w:rPr>
          <w:sz w:val="22"/>
          <w:szCs w:val="22"/>
        </w:rPr>
        <w:t xml:space="preserve">The Commercial Contracts Manager </w:t>
      </w:r>
      <w:r w:rsidR="000F4E17">
        <w:rPr>
          <w:sz w:val="22"/>
          <w:szCs w:val="22"/>
        </w:rPr>
        <w:t xml:space="preserve">(CCM) </w:t>
      </w:r>
      <w:r w:rsidRPr="000F4E17">
        <w:rPr>
          <w:sz w:val="22"/>
          <w:szCs w:val="22"/>
        </w:rPr>
        <w:t xml:space="preserve">contributes to the effective management of AoG ICT contracts, </w:t>
      </w:r>
      <w:r w:rsidR="000F4E17" w:rsidRPr="000F4E17">
        <w:rPr>
          <w:sz w:val="22"/>
          <w:szCs w:val="22"/>
        </w:rPr>
        <w:t>suppliers</w:t>
      </w:r>
      <w:r w:rsidRPr="000F4E17">
        <w:rPr>
          <w:sz w:val="22"/>
          <w:szCs w:val="22"/>
        </w:rPr>
        <w:t>, and products supporting the delivery of cost effective and quality ICT common capabilities to All of Government (AoG) clients by</w:t>
      </w:r>
      <w:r w:rsidR="000F4E17" w:rsidRPr="000F4E17">
        <w:rPr>
          <w:sz w:val="22"/>
          <w:szCs w:val="22"/>
        </w:rPr>
        <w:t xml:space="preserve"> </w:t>
      </w:r>
      <w:r w:rsidRPr="000F4E17">
        <w:rPr>
          <w:sz w:val="22"/>
          <w:szCs w:val="22"/>
        </w:rPr>
        <w:t xml:space="preserve">providing subject matter expertise and capability in the development and maintenance of complex contracts with multiple ICT </w:t>
      </w:r>
      <w:r w:rsidR="001B76EB">
        <w:rPr>
          <w:sz w:val="22"/>
          <w:szCs w:val="22"/>
        </w:rPr>
        <w:t>suppliers</w:t>
      </w:r>
      <w:r w:rsidRPr="000F4E17">
        <w:rPr>
          <w:sz w:val="22"/>
          <w:szCs w:val="22"/>
        </w:rPr>
        <w:t xml:space="preserve"> in alignment with the business needs</w:t>
      </w:r>
      <w:r w:rsidR="000F4E17" w:rsidRPr="000F4E17">
        <w:rPr>
          <w:sz w:val="22"/>
          <w:szCs w:val="22"/>
        </w:rPr>
        <w:t>, strategic priorities</w:t>
      </w:r>
      <w:r w:rsidRPr="000F4E17">
        <w:rPr>
          <w:sz w:val="22"/>
          <w:szCs w:val="22"/>
        </w:rPr>
        <w:t xml:space="preserve"> and wider Product/Category Management</w:t>
      </w:r>
      <w:r w:rsidRPr="000F4E17">
        <w:rPr>
          <w:spacing w:val="-15"/>
          <w:sz w:val="22"/>
          <w:szCs w:val="22"/>
        </w:rPr>
        <w:t xml:space="preserve"> </w:t>
      </w:r>
      <w:r w:rsidRPr="000F4E17">
        <w:rPr>
          <w:sz w:val="22"/>
          <w:szCs w:val="22"/>
        </w:rPr>
        <w:t>plans</w:t>
      </w:r>
      <w:r w:rsidR="000F4E17" w:rsidRPr="000F4E17">
        <w:rPr>
          <w:sz w:val="22"/>
          <w:szCs w:val="22"/>
        </w:rPr>
        <w:t>.</w:t>
      </w:r>
    </w:p>
    <w:p w14:paraId="0458A654" w14:textId="3435C16C" w:rsidR="00A771DF" w:rsidRPr="000F4E17" w:rsidRDefault="000F4E17" w:rsidP="000F4E17">
      <w:pPr>
        <w:pStyle w:val="BodyText"/>
        <w:spacing w:before="123"/>
        <w:ind w:left="146" w:right="321"/>
        <w:rPr>
          <w:sz w:val="22"/>
          <w:szCs w:val="22"/>
        </w:rPr>
      </w:pPr>
      <w:r w:rsidRPr="000F4E17">
        <w:rPr>
          <w:sz w:val="22"/>
          <w:szCs w:val="22"/>
        </w:rPr>
        <w:t xml:space="preserve">CCMs work to ensure </w:t>
      </w:r>
      <w:r w:rsidR="00A26593" w:rsidRPr="000F4E17">
        <w:rPr>
          <w:sz w:val="22"/>
          <w:szCs w:val="22"/>
        </w:rPr>
        <w:t xml:space="preserve">the delivery of fit-for-purpose commercial arrangements and contracts that align with agreed commercial strategies to enable Government to achieve ICT strategic goals. </w:t>
      </w:r>
    </w:p>
    <w:p w14:paraId="0458A657" w14:textId="231BC468" w:rsidR="00A771DF" w:rsidRPr="000F4E17" w:rsidRDefault="00A26593" w:rsidP="000F4E17">
      <w:pPr>
        <w:pStyle w:val="Heading2"/>
        <w:numPr>
          <w:ilvl w:val="1"/>
          <w:numId w:val="11"/>
        </w:numPr>
        <w:tabs>
          <w:tab w:val="left" w:pos="1073"/>
          <w:tab w:val="left" w:pos="1074"/>
        </w:tabs>
        <w:spacing w:before="120"/>
        <w:rPr>
          <w:sz w:val="22"/>
          <w:szCs w:val="22"/>
        </w:rPr>
      </w:pPr>
      <w:r w:rsidRPr="000F4E17">
        <w:rPr>
          <w:color w:val="1F536B"/>
          <w:sz w:val="22"/>
          <w:szCs w:val="22"/>
        </w:rPr>
        <w:t>Reporting to</w:t>
      </w:r>
      <w:r w:rsidRPr="000F4E17">
        <w:rPr>
          <w:b w:val="0"/>
          <w:sz w:val="22"/>
          <w:szCs w:val="22"/>
        </w:rPr>
        <w:t xml:space="preserve">: </w:t>
      </w:r>
      <w:r w:rsidR="00DF75ED">
        <w:rPr>
          <w:b w:val="0"/>
          <w:sz w:val="22"/>
          <w:szCs w:val="22"/>
        </w:rPr>
        <w:t>Team Leader</w:t>
      </w:r>
      <w:r w:rsidR="00B50B14" w:rsidRPr="000F4E17">
        <w:rPr>
          <w:b w:val="0"/>
          <w:sz w:val="22"/>
          <w:szCs w:val="22"/>
        </w:rPr>
        <w:t xml:space="preserve"> Commercial </w:t>
      </w:r>
      <w:r w:rsidR="00DF75ED">
        <w:rPr>
          <w:b w:val="0"/>
          <w:sz w:val="22"/>
          <w:szCs w:val="22"/>
        </w:rPr>
        <w:t>Contracts</w:t>
      </w:r>
      <w:bookmarkStart w:id="0" w:name="_GoBack"/>
      <w:bookmarkEnd w:id="0"/>
    </w:p>
    <w:p w14:paraId="0458A658" w14:textId="77777777" w:rsidR="00A771DF" w:rsidRPr="000F4E17" w:rsidRDefault="00A26593">
      <w:pPr>
        <w:pStyle w:val="ListParagraph"/>
        <w:numPr>
          <w:ilvl w:val="1"/>
          <w:numId w:val="11"/>
        </w:numPr>
        <w:tabs>
          <w:tab w:val="left" w:pos="1073"/>
          <w:tab w:val="left" w:pos="1074"/>
        </w:tabs>
        <w:spacing w:before="40"/>
        <w:rPr>
          <w:b/>
        </w:rPr>
      </w:pPr>
      <w:r w:rsidRPr="000F4E17">
        <w:rPr>
          <w:b/>
          <w:color w:val="1F536B"/>
        </w:rPr>
        <w:t>Location:</w:t>
      </w:r>
      <w:r w:rsidRPr="000F4E17">
        <w:rPr>
          <w:b/>
          <w:color w:val="1F536B"/>
          <w:spacing w:val="49"/>
        </w:rPr>
        <w:t xml:space="preserve"> </w:t>
      </w:r>
      <w:r w:rsidRPr="000F4E17">
        <w:t>Wellington</w:t>
      </w:r>
    </w:p>
    <w:p w14:paraId="0458A659" w14:textId="20602DF2" w:rsidR="00A771DF" w:rsidRPr="000F4E17" w:rsidRDefault="00A26593">
      <w:pPr>
        <w:pStyle w:val="ListParagraph"/>
        <w:numPr>
          <w:ilvl w:val="1"/>
          <w:numId w:val="11"/>
        </w:numPr>
        <w:tabs>
          <w:tab w:val="left" w:pos="1073"/>
          <w:tab w:val="left" w:pos="1074"/>
        </w:tabs>
        <w:spacing w:before="40"/>
        <w:rPr>
          <w:b/>
        </w:rPr>
      </w:pPr>
      <w:r w:rsidRPr="000F4E17">
        <w:rPr>
          <w:b/>
          <w:color w:val="1F536B"/>
        </w:rPr>
        <w:t>Salary range</w:t>
      </w:r>
      <w:r w:rsidR="00BF00F4">
        <w:t>: IT</w:t>
      </w:r>
      <w:r w:rsidRPr="000F4E17">
        <w:t>, Band I</w:t>
      </w:r>
      <w:r w:rsidRPr="000F4E17">
        <w:rPr>
          <w:b/>
          <w:color w:val="1F536B"/>
        </w:rPr>
        <w:t xml:space="preserve"> </w:t>
      </w:r>
    </w:p>
    <w:p w14:paraId="0458A65A" w14:textId="77777777" w:rsidR="00A771DF" w:rsidRDefault="00DF75ED">
      <w:pPr>
        <w:pStyle w:val="BodyText"/>
        <w:spacing w:before="5"/>
        <w:rPr>
          <w:b/>
          <w:sz w:val="16"/>
        </w:rPr>
      </w:pPr>
      <w:r>
        <w:pict w14:anchorId="0458A75B">
          <v:line id="_x0000_s1039" style="position:absolute;z-index:251654144;mso-wrap-distance-left:0;mso-wrap-distance-right:0;mso-position-horizontal-relative:page" from="26.9pt,12.4pt" to="568.55pt,12.4pt" strokecolor="#1f536b" strokeweight=".72pt">
            <w10:wrap type="topAndBottom" anchorx="page"/>
          </v:line>
        </w:pict>
      </w:r>
    </w:p>
    <w:p w14:paraId="0458A65B" w14:textId="77777777" w:rsidR="00A771DF" w:rsidRDefault="00A26593">
      <w:pPr>
        <w:spacing w:before="131"/>
        <w:ind w:left="146" w:right="321"/>
        <w:rPr>
          <w:b/>
          <w:sz w:val="32"/>
        </w:rPr>
      </w:pPr>
      <w:r>
        <w:rPr>
          <w:b/>
          <w:color w:val="1F536B"/>
          <w:sz w:val="32"/>
        </w:rPr>
        <w:t>What we do matters – our purpose</w:t>
      </w:r>
    </w:p>
    <w:p w14:paraId="42A81379" w14:textId="0FF08A7D" w:rsidR="000F4E17" w:rsidRPr="000F4E17" w:rsidRDefault="00A26593" w:rsidP="000F4E17">
      <w:pPr>
        <w:pStyle w:val="BodyText"/>
        <w:spacing w:before="120"/>
        <w:ind w:left="146" w:right="529"/>
        <w:rPr>
          <w:sz w:val="22"/>
          <w:szCs w:val="22"/>
        </w:rPr>
      </w:pPr>
      <w:r w:rsidRPr="000F4E17">
        <w:rPr>
          <w:sz w:val="22"/>
          <w:szCs w:val="22"/>
        </w:rPr>
        <w:t>Our purpose is to serve and connect people, communities and government to build a safe, prosperous and respected nation.</w:t>
      </w:r>
      <w:r w:rsidR="000F4E17" w:rsidRPr="000F4E17">
        <w:rPr>
          <w:sz w:val="22"/>
          <w:szCs w:val="22"/>
        </w:rPr>
        <w:t xml:space="preserve"> </w:t>
      </w:r>
      <w:r w:rsidRPr="000F4E17">
        <w:rPr>
          <w:sz w:val="22"/>
          <w:szCs w:val="22"/>
        </w:rPr>
        <w:t>In other words, it’s all about helping to make New Zealand better for New Zealanders.</w:t>
      </w:r>
    </w:p>
    <w:p w14:paraId="1C6C0999" w14:textId="77777777" w:rsidR="000F4E17" w:rsidRPr="000F4E17" w:rsidRDefault="000F4E17" w:rsidP="000F4E17">
      <w:pPr>
        <w:pStyle w:val="BodyText"/>
        <w:pBdr>
          <w:bottom w:val="single" w:sz="4" w:space="1" w:color="auto"/>
        </w:pBdr>
        <w:ind w:left="146" w:right="321"/>
        <w:rPr>
          <w:sz w:val="16"/>
          <w:szCs w:val="16"/>
        </w:rPr>
      </w:pPr>
    </w:p>
    <w:p w14:paraId="1DD0E6C7" w14:textId="77777777" w:rsidR="000F4E17" w:rsidRDefault="000F4E17" w:rsidP="000F4E17">
      <w:pPr>
        <w:pStyle w:val="Heading1"/>
        <w:spacing w:before="35"/>
      </w:pPr>
      <w:r>
        <w:rPr>
          <w:color w:val="1F536B"/>
        </w:rPr>
        <w:t>How we do things around here – our principles</w:t>
      </w:r>
    </w:p>
    <w:p w14:paraId="72321411" w14:textId="77777777" w:rsidR="000F4E17" w:rsidRPr="000F4E17" w:rsidRDefault="000F4E17" w:rsidP="000F4E17">
      <w:pPr>
        <w:pStyle w:val="Heading2"/>
        <w:spacing w:before="160"/>
        <w:ind w:left="1956" w:right="321" w:firstLine="0"/>
        <w:rPr>
          <w:sz w:val="22"/>
          <w:szCs w:val="22"/>
        </w:rPr>
      </w:pPr>
      <w:r w:rsidRPr="000F4E17">
        <w:rPr>
          <w:noProof/>
          <w:sz w:val="22"/>
          <w:szCs w:val="22"/>
          <w:lang w:val="en-NZ" w:eastAsia="en-NZ"/>
        </w:rPr>
        <w:drawing>
          <wp:anchor distT="0" distB="0" distL="0" distR="0" simplePos="0" relativeHeight="251665408" behindDoc="0" locked="0" layoutInCell="1" allowOverlap="1" wp14:anchorId="5CDEB14A" wp14:editId="66443E2B">
            <wp:simplePos x="0" y="0"/>
            <wp:positionH relativeFrom="page">
              <wp:posOffset>360045</wp:posOffset>
            </wp:positionH>
            <wp:positionV relativeFrom="paragraph">
              <wp:posOffset>76019</wp:posOffset>
            </wp:positionV>
            <wp:extent cx="942975" cy="203835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942975" cy="2038350"/>
                    </a:xfrm>
                    <a:prstGeom prst="rect">
                      <a:avLst/>
                    </a:prstGeom>
                  </pic:spPr>
                </pic:pic>
              </a:graphicData>
            </a:graphic>
          </wp:anchor>
        </w:drawing>
      </w:r>
      <w:r w:rsidRPr="000F4E17">
        <w:rPr>
          <w:color w:val="1F536B"/>
          <w:sz w:val="22"/>
          <w:szCs w:val="22"/>
        </w:rPr>
        <w:t>We make it easy, we make it work</w:t>
      </w:r>
    </w:p>
    <w:p w14:paraId="0638BDBA" w14:textId="77777777" w:rsidR="000F4E17" w:rsidRPr="000F4E17" w:rsidRDefault="000F4E17" w:rsidP="000F4E17">
      <w:pPr>
        <w:pStyle w:val="ListParagraph"/>
        <w:numPr>
          <w:ilvl w:val="2"/>
          <w:numId w:val="11"/>
        </w:numPr>
        <w:tabs>
          <w:tab w:val="left" w:pos="2313"/>
          <w:tab w:val="left" w:pos="2314"/>
        </w:tabs>
      </w:pPr>
      <w:r w:rsidRPr="000F4E17">
        <w:t>Customer</w:t>
      </w:r>
      <w:r w:rsidRPr="000F4E17">
        <w:rPr>
          <w:spacing w:val="-5"/>
        </w:rPr>
        <w:t xml:space="preserve"> </w:t>
      </w:r>
      <w:proofErr w:type="spellStart"/>
      <w:r w:rsidRPr="000F4E17">
        <w:t>centred</w:t>
      </w:r>
      <w:proofErr w:type="spellEnd"/>
    </w:p>
    <w:p w14:paraId="49D32B43" w14:textId="77777777" w:rsidR="000F4E17" w:rsidRPr="000F4E17" w:rsidRDefault="000F4E17" w:rsidP="000F4E17">
      <w:pPr>
        <w:pStyle w:val="ListParagraph"/>
        <w:numPr>
          <w:ilvl w:val="2"/>
          <w:numId w:val="11"/>
        </w:numPr>
        <w:tabs>
          <w:tab w:val="left" w:pos="2313"/>
          <w:tab w:val="left" w:pos="2314"/>
        </w:tabs>
      </w:pPr>
      <w:r w:rsidRPr="000F4E17">
        <w:t>Make things even</w:t>
      </w:r>
      <w:r w:rsidRPr="000F4E17">
        <w:rPr>
          <w:spacing w:val="-9"/>
        </w:rPr>
        <w:t xml:space="preserve"> </w:t>
      </w:r>
      <w:r w:rsidRPr="000F4E17">
        <w:t>better</w:t>
      </w:r>
    </w:p>
    <w:p w14:paraId="452F8700" w14:textId="77777777" w:rsidR="000F4E17" w:rsidRPr="000F4E17" w:rsidRDefault="000F4E17" w:rsidP="000F4E17">
      <w:pPr>
        <w:pStyle w:val="Heading2"/>
        <w:spacing w:before="122"/>
        <w:ind w:left="1956" w:right="321" w:firstLine="0"/>
        <w:rPr>
          <w:sz w:val="22"/>
          <w:szCs w:val="22"/>
        </w:rPr>
      </w:pPr>
      <w:r w:rsidRPr="000F4E17">
        <w:rPr>
          <w:color w:val="1F536B"/>
          <w:sz w:val="22"/>
          <w:szCs w:val="22"/>
        </w:rPr>
        <w:t>We’re stronger together</w:t>
      </w:r>
    </w:p>
    <w:p w14:paraId="4B5AE6C9" w14:textId="77777777" w:rsidR="000F4E17" w:rsidRPr="000F4E17" w:rsidRDefault="000F4E17" w:rsidP="000F4E17">
      <w:pPr>
        <w:pStyle w:val="ListParagraph"/>
        <w:numPr>
          <w:ilvl w:val="2"/>
          <w:numId w:val="11"/>
        </w:numPr>
        <w:tabs>
          <w:tab w:val="left" w:pos="2313"/>
          <w:tab w:val="left" w:pos="2314"/>
        </w:tabs>
      </w:pPr>
      <w:r w:rsidRPr="000F4E17">
        <w:t>Work as a</w:t>
      </w:r>
      <w:r w:rsidRPr="000F4E17">
        <w:rPr>
          <w:spacing w:val="-2"/>
        </w:rPr>
        <w:t xml:space="preserve"> </w:t>
      </w:r>
      <w:r w:rsidRPr="000F4E17">
        <w:t>team</w:t>
      </w:r>
    </w:p>
    <w:p w14:paraId="79549A69" w14:textId="77777777" w:rsidR="000F4E17" w:rsidRPr="000F4E17" w:rsidRDefault="000F4E17" w:rsidP="000F4E17">
      <w:pPr>
        <w:pStyle w:val="ListParagraph"/>
        <w:numPr>
          <w:ilvl w:val="2"/>
          <w:numId w:val="11"/>
        </w:numPr>
        <w:tabs>
          <w:tab w:val="left" w:pos="2313"/>
          <w:tab w:val="left" w:pos="2314"/>
        </w:tabs>
        <w:spacing w:before="40"/>
      </w:pPr>
      <w:r w:rsidRPr="000F4E17">
        <w:t>Value each</w:t>
      </w:r>
      <w:r w:rsidRPr="000F4E17">
        <w:rPr>
          <w:spacing w:val="-4"/>
        </w:rPr>
        <w:t xml:space="preserve"> </w:t>
      </w:r>
      <w:r w:rsidRPr="000F4E17">
        <w:t>other</w:t>
      </w:r>
    </w:p>
    <w:p w14:paraId="3DB4B5D7" w14:textId="77777777" w:rsidR="000F4E17" w:rsidRPr="000F4E17" w:rsidRDefault="000F4E17" w:rsidP="000F4E17">
      <w:pPr>
        <w:pStyle w:val="Heading2"/>
        <w:spacing w:before="122"/>
        <w:ind w:left="1956" w:right="321" w:firstLine="0"/>
        <w:rPr>
          <w:sz w:val="22"/>
          <w:szCs w:val="22"/>
        </w:rPr>
      </w:pPr>
      <w:r w:rsidRPr="000F4E17">
        <w:rPr>
          <w:color w:val="1F536B"/>
          <w:sz w:val="22"/>
          <w:szCs w:val="22"/>
        </w:rPr>
        <w:t>We take pride in what we do</w:t>
      </w:r>
    </w:p>
    <w:p w14:paraId="58B0D125" w14:textId="77777777" w:rsidR="000F4E17" w:rsidRPr="000F4E17" w:rsidRDefault="000F4E17" w:rsidP="000F4E17">
      <w:pPr>
        <w:pStyle w:val="ListParagraph"/>
        <w:numPr>
          <w:ilvl w:val="2"/>
          <w:numId w:val="11"/>
        </w:numPr>
        <w:tabs>
          <w:tab w:val="left" w:pos="2313"/>
          <w:tab w:val="left" w:pos="2314"/>
        </w:tabs>
        <w:spacing w:before="39"/>
      </w:pPr>
      <w:r w:rsidRPr="000F4E17">
        <w:t>Make a positive</w:t>
      </w:r>
      <w:r w:rsidRPr="000F4E17">
        <w:rPr>
          <w:spacing w:val="-13"/>
        </w:rPr>
        <w:t xml:space="preserve"> </w:t>
      </w:r>
      <w:r w:rsidRPr="000F4E17">
        <w:t>difference</w:t>
      </w:r>
    </w:p>
    <w:p w14:paraId="125462B1" w14:textId="77777777" w:rsidR="000F4E17" w:rsidRPr="000F4E17" w:rsidRDefault="000F4E17" w:rsidP="000F4E17">
      <w:pPr>
        <w:pStyle w:val="ListParagraph"/>
        <w:numPr>
          <w:ilvl w:val="2"/>
          <w:numId w:val="11"/>
        </w:numPr>
        <w:tabs>
          <w:tab w:val="left" w:pos="2313"/>
          <w:tab w:val="left" w:pos="2314"/>
        </w:tabs>
      </w:pPr>
      <w:r w:rsidRPr="000F4E17">
        <w:t>Strive for</w:t>
      </w:r>
      <w:r w:rsidRPr="000F4E17">
        <w:rPr>
          <w:spacing w:val="-7"/>
        </w:rPr>
        <w:t xml:space="preserve"> </w:t>
      </w:r>
      <w:r w:rsidRPr="000F4E17">
        <w:t>excellence</w:t>
      </w:r>
    </w:p>
    <w:p w14:paraId="4A5AE981" w14:textId="77777777" w:rsidR="000F4E17" w:rsidRDefault="00DF75ED" w:rsidP="000F4E17">
      <w:pPr>
        <w:pStyle w:val="BodyText"/>
        <w:spacing w:before="4"/>
      </w:pPr>
      <w:r>
        <w:pict w14:anchorId="455D0D38">
          <v:line id="_x0000_s1041" style="position:absolute;z-index:251666432;mso-wrap-distance-left:0;mso-wrap-distance-right:0;mso-position-horizontal-relative:page" from="26.9pt,17.2pt" to="568.55pt,17.2pt" strokecolor="#1f536b" strokeweight=".72pt">
            <w10:wrap type="topAndBottom" anchorx="page"/>
          </v:line>
        </w:pict>
      </w:r>
    </w:p>
    <w:p w14:paraId="1CBCE576" w14:textId="77777777" w:rsidR="000F4E17" w:rsidRDefault="000F4E17" w:rsidP="000F4E17">
      <w:pPr>
        <w:pStyle w:val="Heading1"/>
      </w:pPr>
      <w:r>
        <w:rPr>
          <w:color w:val="1F536B"/>
        </w:rPr>
        <w:t>Working effectively with Māori</w:t>
      </w:r>
    </w:p>
    <w:p w14:paraId="46370618" w14:textId="77777777" w:rsidR="000F4E17" w:rsidRPr="00B354FA" w:rsidRDefault="000F4E17" w:rsidP="000F4E17">
      <w:pPr>
        <w:ind w:left="284" w:right="297"/>
      </w:pPr>
      <w:r w:rsidRPr="00B354FA">
        <w:t xml:space="preserve">Te Aka </w:t>
      </w:r>
      <w:proofErr w:type="spellStart"/>
      <w:r w:rsidRPr="00B354FA">
        <w:t>Taiwhenua</w:t>
      </w:r>
      <w:proofErr w:type="spellEnd"/>
      <w:r w:rsidRPr="00B354FA">
        <w:t xml:space="preserve"> – our Māori Strategic Framework – enables us to work effectively with Māori. Te Aka </w:t>
      </w:r>
      <w:proofErr w:type="spellStart"/>
      <w:r w:rsidRPr="00B354FA">
        <w:t>Taiwhenua</w:t>
      </w:r>
      <w:proofErr w:type="spellEnd"/>
      <w:r w:rsidRPr="00B354FA">
        <w:t xml:space="preserve"> is underpinned by our </w:t>
      </w:r>
      <w:proofErr w:type="spellStart"/>
      <w:r w:rsidRPr="00B354FA">
        <w:t>mātāpono</w:t>
      </w:r>
      <w:proofErr w:type="spellEnd"/>
      <w:r w:rsidRPr="00B354FA">
        <w:t xml:space="preserve"> – Kotahitanga, </w:t>
      </w:r>
      <w:proofErr w:type="spellStart"/>
      <w:r w:rsidRPr="00B354FA">
        <w:t>Manaakitanga</w:t>
      </w:r>
      <w:proofErr w:type="spellEnd"/>
      <w:r w:rsidRPr="00B354FA">
        <w:t xml:space="preserve">, </w:t>
      </w:r>
      <w:proofErr w:type="spellStart"/>
      <w:r w:rsidRPr="00B354FA">
        <w:t>Whānaungatanga</w:t>
      </w:r>
      <w:proofErr w:type="spellEnd"/>
      <w:r w:rsidRPr="00B354FA">
        <w:t xml:space="preserve">, He </w:t>
      </w:r>
      <w:proofErr w:type="spellStart"/>
      <w:r w:rsidRPr="00B354FA">
        <w:t>Tāngata</w:t>
      </w:r>
      <w:proofErr w:type="spellEnd"/>
      <w:r w:rsidRPr="00B354FA">
        <w:t>.</w:t>
      </w:r>
    </w:p>
    <w:p w14:paraId="47F19BFD" w14:textId="77777777" w:rsidR="000F4E17" w:rsidRPr="00B354FA" w:rsidRDefault="000F4E17" w:rsidP="000F4E17">
      <w:pPr>
        <w:ind w:left="284" w:right="297"/>
      </w:pPr>
      <w:r w:rsidRPr="00B354FA">
        <w:t xml:space="preserve">As DIA is an agent of the Crown, Te </w:t>
      </w:r>
      <w:proofErr w:type="spellStart"/>
      <w:r w:rsidRPr="00B354FA">
        <w:t>Tiriti</w:t>
      </w:r>
      <w:proofErr w:type="spellEnd"/>
      <w:r w:rsidRPr="00B354FA">
        <w:t xml:space="preserve"> o Waitangi/The Treaty of Waitangi is important to everything we say or do. We </w:t>
      </w:r>
      <w:proofErr w:type="spellStart"/>
      <w:r w:rsidRPr="00B354FA">
        <w:t>recognise</w:t>
      </w:r>
      <w:proofErr w:type="spellEnd"/>
      <w:r w:rsidRPr="00B354FA">
        <w:t xml:space="preserv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w:t>
      </w:r>
      <w:proofErr w:type="spellStart"/>
      <w:r w:rsidRPr="00B354FA">
        <w:t>Tiriti</w:t>
      </w:r>
      <w:proofErr w:type="spellEnd"/>
      <w:r w:rsidRPr="00B354FA">
        <w:t xml:space="preserve"> o Waitangi.</w:t>
      </w:r>
    </w:p>
    <w:p w14:paraId="0458A667" w14:textId="57F6DAD3" w:rsidR="00A771DF" w:rsidRDefault="00DF75ED">
      <w:pPr>
        <w:spacing w:before="38"/>
        <w:ind w:right="1276"/>
        <w:jc w:val="right"/>
      </w:pPr>
      <w:r>
        <w:pict w14:anchorId="0458A75E">
          <v:line id="_x0000_s1038" style="position:absolute;left:0;text-align:left;z-index:251655168;mso-wrap-distance-left:0;mso-wrap-distance-right:0;mso-position-horizontal-relative:page" from="26.9pt,20.4pt" to="568.55pt,20.4pt" strokecolor="#1f536b" strokeweight=".72pt">
            <w10:wrap type="topAndBottom" anchorx="page"/>
          </v:line>
        </w:pict>
      </w:r>
    </w:p>
    <w:p w14:paraId="0458A668" w14:textId="77777777" w:rsidR="00A771DF" w:rsidRDefault="00A771DF">
      <w:pPr>
        <w:pStyle w:val="BodyText"/>
        <w:spacing w:before="11"/>
        <w:rPr>
          <w:sz w:val="7"/>
        </w:rPr>
      </w:pPr>
    </w:p>
    <w:p w14:paraId="0458A69D" w14:textId="77777777" w:rsidR="00A771DF" w:rsidRDefault="00A771DF">
      <w:pPr>
        <w:jc w:val="right"/>
        <w:rPr>
          <w:sz w:val="20"/>
        </w:rPr>
        <w:sectPr w:rsidR="00A771DF">
          <w:footerReference w:type="first" r:id="rId13"/>
          <w:pgSz w:w="11910" w:h="16850"/>
          <w:pgMar w:top="420" w:right="420" w:bottom="280" w:left="420" w:header="720" w:footer="720" w:gutter="0"/>
          <w:cols w:space="720"/>
        </w:sectPr>
      </w:pPr>
    </w:p>
    <w:p w14:paraId="0458A69E" w14:textId="77777777" w:rsidR="00A771DF" w:rsidRDefault="00A771DF">
      <w:pPr>
        <w:pStyle w:val="BodyText"/>
        <w:spacing w:before="7"/>
        <w:rPr>
          <w:rFonts w:ascii="Times New Roman"/>
          <w:sz w:val="25"/>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119"/>
        <w:gridCol w:w="3644"/>
      </w:tblGrid>
      <w:tr w:rsidR="00A771DF" w14:paraId="0458A6A0" w14:textId="77777777">
        <w:trPr>
          <w:trHeight w:hRule="exact" w:val="492"/>
        </w:trPr>
        <w:tc>
          <w:tcPr>
            <w:tcW w:w="9763" w:type="dxa"/>
            <w:gridSpan w:val="2"/>
            <w:shd w:val="clear" w:color="auto" w:fill="1F536B"/>
          </w:tcPr>
          <w:p w14:paraId="0458A69F" w14:textId="77777777" w:rsidR="00A771DF" w:rsidRDefault="00A26593">
            <w:pPr>
              <w:pStyle w:val="TableParagraph"/>
              <w:tabs>
                <w:tab w:val="left" w:pos="5929"/>
              </w:tabs>
              <w:spacing w:before="93"/>
              <w:ind w:left="117"/>
              <w:rPr>
                <w:b/>
                <w:sz w:val="26"/>
              </w:rPr>
            </w:pPr>
            <w:r>
              <w:rPr>
                <w:b/>
                <w:color w:val="FFFFFF"/>
                <w:sz w:val="26"/>
              </w:rPr>
              <w:t>What you will do</w:t>
            </w:r>
            <w:r>
              <w:rPr>
                <w:b/>
                <w:color w:val="FFFFFF"/>
                <w:spacing w:val="-7"/>
                <w:sz w:val="26"/>
              </w:rPr>
              <w:t xml:space="preserve"> </w:t>
            </w:r>
            <w:r>
              <w:rPr>
                <w:b/>
                <w:color w:val="FFFFFF"/>
                <w:sz w:val="26"/>
              </w:rPr>
              <w:t>to</w:t>
            </w:r>
            <w:r>
              <w:rPr>
                <w:b/>
                <w:color w:val="FFFFFF"/>
                <w:spacing w:val="-1"/>
                <w:sz w:val="26"/>
              </w:rPr>
              <w:t xml:space="preserve"> </w:t>
            </w:r>
            <w:r>
              <w:rPr>
                <w:b/>
                <w:color w:val="FFFFFF"/>
                <w:sz w:val="26"/>
              </w:rPr>
              <w:t>contribute</w:t>
            </w:r>
            <w:r>
              <w:rPr>
                <w:b/>
                <w:color w:val="FFFFFF"/>
                <w:sz w:val="26"/>
              </w:rPr>
              <w:tab/>
            </w:r>
            <w:proofErr w:type="gramStart"/>
            <w:r>
              <w:rPr>
                <w:b/>
                <w:color w:val="FFFFFF"/>
                <w:sz w:val="26"/>
              </w:rPr>
              <w:t>As</w:t>
            </w:r>
            <w:proofErr w:type="gramEnd"/>
            <w:r>
              <w:rPr>
                <w:b/>
                <w:color w:val="FFFFFF"/>
                <w:sz w:val="26"/>
              </w:rPr>
              <w:t xml:space="preserve"> a result we will</w:t>
            </w:r>
            <w:r>
              <w:rPr>
                <w:b/>
                <w:color w:val="FFFFFF"/>
                <w:spacing w:val="-13"/>
                <w:sz w:val="26"/>
              </w:rPr>
              <w:t xml:space="preserve"> </w:t>
            </w:r>
            <w:r>
              <w:rPr>
                <w:b/>
                <w:color w:val="FFFFFF"/>
                <w:sz w:val="26"/>
              </w:rPr>
              <w:t>see</w:t>
            </w:r>
          </w:p>
        </w:tc>
      </w:tr>
      <w:tr w:rsidR="00A771DF" w:rsidRPr="001B76EB" w14:paraId="0458A6B0" w14:textId="77777777" w:rsidTr="001B76EB">
        <w:trPr>
          <w:trHeight w:hRule="exact" w:val="11253"/>
        </w:trPr>
        <w:tc>
          <w:tcPr>
            <w:tcW w:w="6119" w:type="dxa"/>
            <w:tcBorders>
              <w:bottom w:val="single" w:sz="6" w:space="0" w:color="1F536B"/>
              <w:right w:val="single" w:sz="6" w:space="0" w:color="1F536B"/>
            </w:tcBorders>
          </w:tcPr>
          <w:p w14:paraId="0458A6A1" w14:textId="77777777" w:rsidR="00A771DF" w:rsidRPr="001B76EB" w:rsidRDefault="00A26593">
            <w:pPr>
              <w:pStyle w:val="TableParagraph"/>
              <w:spacing w:before="119"/>
              <w:ind w:left="115"/>
              <w:rPr>
                <w:b/>
              </w:rPr>
            </w:pPr>
            <w:r w:rsidRPr="001B76EB">
              <w:rPr>
                <w:b/>
              </w:rPr>
              <w:t>ICT Contracts Development, Change and Commercial Management</w:t>
            </w:r>
          </w:p>
          <w:p w14:paraId="0458A6A2" w14:textId="50A16A5E" w:rsidR="00A771DF" w:rsidRPr="001B76EB" w:rsidRDefault="00A26593">
            <w:pPr>
              <w:pStyle w:val="TableParagraph"/>
              <w:numPr>
                <w:ilvl w:val="0"/>
                <w:numId w:val="10"/>
              </w:numPr>
              <w:tabs>
                <w:tab w:val="left" w:pos="473"/>
                <w:tab w:val="left" w:pos="474"/>
              </w:tabs>
              <w:spacing w:before="120"/>
              <w:ind w:right="375" w:hanging="358"/>
            </w:pPr>
            <w:r w:rsidRPr="001B76EB">
              <w:t>Develop and deliver fit-for-purpose ICT</w:t>
            </w:r>
            <w:r w:rsidRPr="001B76EB">
              <w:rPr>
                <w:spacing w:val="-20"/>
              </w:rPr>
              <w:t xml:space="preserve"> </w:t>
            </w:r>
            <w:r w:rsidRPr="001B76EB">
              <w:t>contractual documentation, schedules, memorandum of understanding, subscription agreements, service catalogues, appropriate execution of contracts, deeds of variation and letters of</w:t>
            </w:r>
            <w:r w:rsidRPr="001B76EB">
              <w:rPr>
                <w:spacing w:val="-15"/>
              </w:rPr>
              <w:t xml:space="preserve"> </w:t>
            </w:r>
            <w:r w:rsidR="00BF00F4">
              <w:t>renewal.</w:t>
            </w:r>
          </w:p>
          <w:p w14:paraId="0458A6A3" w14:textId="072B3DC7" w:rsidR="00A771DF" w:rsidRPr="001B76EB" w:rsidRDefault="00A26593">
            <w:pPr>
              <w:pStyle w:val="TableParagraph"/>
              <w:numPr>
                <w:ilvl w:val="0"/>
                <w:numId w:val="10"/>
              </w:numPr>
              <w:tabs>
                <w:tab w:val="left" w:pos="473"/>
                <w:tab w:val="left" w:pos="474"/>
              </w:tabs>
              <w:spacing w:before="43"/>
              <w:ind w:right="330" w:hanging="358"/>
            </w:pPr>
            <w:r w:rsidRPr="001B76EB">
              <w:t xml:space="preserve">Collaborate with DIA Legal team, </w:t>
            </w:r>
            <w:r w:rsidR="000F4E17" w:rsidRPr="001B76EB">
              <w:t xml:space="preserve">Supplier Portfolio &amp; Contract Managers, Category Managers </w:t>
            </w:r>
            <w:r w:rsidRPr="001B76EB">
              <w:t xml:space="preserve">and wider </w:t>
            </w:r>
            <w:r w:rsidR="000F4E17" w:rsidRPr="001B76EB">
              <w:t>AoG SD</w:t>
            </w:r>
            <w:r w:rsidRPr="001B76EB">
              <w:t xml:space="preserve"> team to produce commercial documentation in an effective timely manner – enabling prompt service</w:t>
            </w:r>
            <w:r w:rsidRPr="001B76EB">
              <w:rPr>
                <w:spacing w:val="-17"/>
              </w:rPr>
              <w:t xml:space="preserve"> </w:t>
            </w:r>
            <w:r w:rsidRPr="001B76EB">
              <w:t>uptake</w:t>
            </w:r>
            <w:r w:rsidR="00BF00F4">
              <w:t>.</w:t>
            </w:r>
          </w:p>
          <w:p w14:paraId="0458A6A4" w14:textId="402F91D2" w:rsidR="00A771DF" w:rsidRPr="001B76EB" w:rsidRDefault="00A26593">
            <w:pPr>
              <w:pStyle w:val="TableParagraph"/>
              <w:numPr>
                <w:ilvl w:val="0"/>
                <w:numId w:val="10"/>
              </w:numPr>
              <w:tabs>
                <w:tab w:val="left" w:pos="432"/>
                <w:tab w:val="left" w:pos="433"/>
              </w:tabs>
              <w:spacing w:before="43"/>
              <w:ind w:left="432" w:right="286" w:hanging="356"/>
            </w:pPr>
            <w:r w:rsidRPr="001B76EB">
              <w:t>Ensure that all commercial practices and documentation developed can stand up to all risk, probity, and assurance checks that may be undertaken – including meeting the spirit and</w:t>
            </w:r>
            <w:r w:rsidRPr="001B76EB">
              <w:rPr>
                <w:spacing w:val="-24"/>
              </w:rPr>
              <w:t xml:space="preserve"> </w:t>
            </w:r>
            <w:r w:rsidRPr="001B76EB">
              <w:t xml:space="preserve">intent of the Government’s </w:t>
            </w:r>
            <w:r w:rsidR="003F5BA8">
              <w:t>Procurement Rules</w:t>
            </w:r>
            <w:r w:rsidRPr="001B76EB">
              <w:t>.</w:t>
            </w:r>
          </w:p>
          <w:p w14:paraId="0458A6A5" w14:textId="1B3EA064" w:rsidR="00A771DF" w:rsidRPr="001B76EB" w:rsidRDefault="00A26593">
            <w:pPr>
              <w:pStyle w:val="TableParagraph"/>
              <w:numPr>
                <w:ilvl w:val="0"/>
                <w:numId w:val="10"/>
              </w:numPr>
              <w:tabs>
                <w:tab w:val="left" w:pos="473"/>
                <w:tab w:val="left" w:pos="474"/>
              </w:tabs>
              <w:spacing w:before="43"/>
              <w:ind w:right="307" w:hanging="358"/>
            </w:pPr>
            <w:r w:rsidRPr="001B76EB">
              <w:t xml:space="preserve">Assist with the development of </w:t>
            </w:r>
            <w:r w:rsidR="001B76EB" w:rsidRPr="001B76EB">
              <w:t>Supplier</w:t>
            </w:r>
            <w:r w:rsidRPr="001B76EB">
              <w:rPr>
                <w:spacing w:val="-19"/>
              </w:rPr>
              <w:t xml:space="preserve"> </w:t>
            </w:r>
            <w:r w:rsidRPr="001B76EB">
              <w:t>Governance and Performance Management frameworks which are aligned to Strategic Supplier Relationship requirements and continually evolve to support emerging supply market</w:t>
            </w:r>
            <w:r w:rsidRPr="001B76EB">
              <w:rPr>
                <w:spacing w:val="-8"/>
              </w:rPr>
              <w:t xml:space="preserve"> </w:t>
            </w:r>
            <w:r w:rsidR="00BF00F4">
              <w:t>models.</w:t>
            </w:r>
          </w:p>
          <w:p w14:paraId="0458A6A6" w14:textId="34ED2FB5" w:rsidR="00A771DF" w:rsidRPr="001B76EB" w:rsidRDefault="00A26593">
            <w:pPr>
              <w:pStyle w:val="TableParagraph"/>
              <w:numPr>
                <w:ilvl w:val="0"/>
                <w:numId w:val="10"/>
              </w:numPr>
              <w:tabs>
                <w:tab w:val="left" w:pos="473"/>
                <w:tab w:val="left" w:pos="474"/>
              </w:tabs>
              <w:spacing w:before="43"/>
              <w:ind w:right="444" w:hanging="358"/>
            </w:pPr>
            <w:r w:rsidRPr="001B76EB">
              <w:t xml:space="preserve">Work closely with </w:t>
            </w:r>
            <w:r w:rsidR="000F4E17" w:rsidRPr="001B76EB">
              <w:t xml:space="preserve">Supplier Portfolio &amp; Contract Managers, Category Managers </w:t>
            </w:r>
            <w:r w:rsidRPr="001B76EB">
              <w:t xml:space="preserve">and </w:t>
            </w:r>
            <w:r w:rsidR="000F4E17" w:rsidRPr="001B76EB">
              <w:t>Lead</w:t>
            </w:r>
            <w:r w:rsidRPr="001B76EB">
              <w:t xml:space="preserve"> Commercial </w:t>
            </w:r>
            <w:r w:rsidR="000F4E17" w:rsidRPr="001B76EB">
              <w:t xml:space="preserve">Contracts </w:t>
            </w:r>
            <w:r w:rsidR="001B76EB">
              <w:t>Manager</w:t>
            </w:r>
            <w:r w:rsidRPr="001B76EB">
              <w:t xml:space="preserve"> providing support during contract negotiations, </w:t>
            </w:r>
            <w:r w:rsidR="001B76EB" w:rsidRPr="001B76EB">
              <w:t>supplier</w:t>
            </w:r>
            <w:r w:rsidRPr="001B76EB">
              <w:rPr>
                <w:spacing w:val="-23"/>
              </w:rPr>
              <w:t xml:space="preserve"> </w:t>
            </w:r>
            <w:r w:rsidRPr="001B76EB">
              <w:t>performance management and contr</w:t>
            </w:r>
            <w:r w:rsidR="00BF00F4">
              <w:t>act change management processes.</w:t>
            </w:r>
          </w:p>
          <w:p w14:paraId="0458A6A7" w14:textId="54AB47A3" w:rsidR="00A771DF" w:rsidRPr="001B76EB" w:rsidRDefault="00A26593">
            <w:pPr>
              <w:pStyle w:val="TableParagraph"/>
              <w:numPr>
                <w:ilvl w:val="0"/>
                <w:numId w:val="10"/>
              </w:numPr>
              <w:tabs>
                <w:tab w:val="left" w:pos="473"/>
                <w:tab w:val="left" w:pos="474"/>
              </w:tabs>
              <w:spacing w:before="43"/>
              <w:ind w:right="156" w:hanging="358"/>
            </w:pPr>
            <w:r w:rsidRPr="001B76EB">
              <w:t xml:space="preserve">Assist the </w:t>
            </w:r>
            <w:r w:rsidR="000F4E17" w:rsidRPr="001B76EB">
              <w:t xml:space="preserve">Security team, Supplier Portfolio &amp; Contract Managers and Category Managers </w:t>
            </w:r>
            <w:r w:rsidRPr="001B76EB">
              <w:t>with the security certification process, including preparation of</w:t>
            </w:r>
            <w:r w:rsidRPr="001B76EB">
              <w:rPr>
                <w:spacing w:val="-18"/>
              </w:rPr>
              <w:t xml:space="preserve"> </w:t>
            </w:r>
            <w:r w:rsidRPr="001B76EB">
              <w:t>SOW’s, contractual document</w:t>
            </w:r>
            <w:r w:rsidR="00BF00F4">
              <w:t>s and commercials – as required.</w:t>
            </w:r>
          </w:p>
          <w:p w14:paraId="0458A6A8" w14:textId="3921D7F1" w:rsidR="00A771DF" w:rsidRPr="001B76EB" w:rsidRDefault="00A26593">
            <w:pPr>
              <w:pStyle w:val="TableParagraph"/>
              <w:numPr>
                <w:ilvl w:val="0"/>
                <w:numId w:val="10"/>
              </w:numPr>
              <w:tabs>
                <w:tab w:val="left" w:pos="473"/>
                <w:tab w:val="left" w:pos="474"/>
              </w:tabs>
              <w:spacing w:before="39" w:line="290" w:lineRule="exact"/>
              <w:ind w:right="751" w:hanging="358"/>
            </w:pPr>
            <w:proofErr w:type="spellStart"/>
            <w:r w:rsidRPr="001B76EB">
              <w:t>Standardise</w:t>
            </w:r>
            <w:proofErr w:type="spellEnd"/>
            <w:r w:rsidRPr="001B76EB">
              <w:t xml:space="preserve"> and </w:t>
            </w:r>
            <w:proofErr w:type="spellStart"/>
            <w:r w:rsidRPr="001B76EB">
              <w:t>rationalise</w:t>
            </w:r>
            <w:proofErr w:type="spellEnd"/>
            <w:r w:rsidRPr="001B76EB">
              <w:t xml:space="preserve"> contract</w:t>
            </w:r>
            <w:r w:rsidRPr="001B76EB">
              <w:rPr>
                <w:spacing w:val="-18"/>
              </w:rPr>
              <w:t xml:space="preserve"> </w:t>
            </w:r>
            <w:r w:rsidRPr="001B76EB">
              <w:t>constructs where</w:t>
            </w:r>
            <w:r w:rsidRPr="001B76EB">
              <w:rPr>
                <w:spacing w:val="-8"/>
              </w:rPr>
              <w:t xml:space="preserve"> </w:t>
            </w:r>
            <w:r w:rsidR="00BF00F4">
              <w:t>appropriate.</w:t>
            </w:r>
          </w:p>
          <w:p w14:paraId="661B4417" w14:textId="77777777" w:rsidR="001B76EB" w:rsidRPr="001B76EB" w:rsidRDefault="00A26593" w:rsidP="001B76EB">
            <w:pPr>
              <w:pStyle w:val="TableParagraph"/>
              <w:numPr>
                <w:ilvl w:val="0"/>
                <w:numId w:val="10"/>
              </w:numPr>
              <w:tabs>
                <w:tab w:val="left" w:pos="473"/>
                <w:tab w:val="left" w:pos="474"/>
              </w:tabs>
              <w:spacing w:before="49"/>
              <w:ind w:right="124" w:hanging="358"/>
            </w:pPr>
            <w:r w:rsidRPr="001B76EB">
              <w:t>Provide commercial expertise and advice to agencies, as required, to enable the effective uptake of ICT common capability products and</w:t>
            </w:r>
            <w:r w:rsidRPr="001B76EB">
              <w:rPr>
                <w:spacing w:val="-17"/>
              </w:rPr>
              <w:t xml:space="preserve"> </w:t>
            </w:r>
            <w:r w:rsidRPr="001B76EB">
              <w:t>services.</w:t>
            </w:r>
          </w:p>
          <w:p w14:paraId="156275C2" w14:textId="6799FC1F" w:rsidR="001B76EB" w:rsidRDefault="001B76EB" w:rsidP="001B76EB">
            <w:pPr>
              <w:pStyle w:val="TableParagraph"/>
              <w:numPr>
                <w:ilvl w:val="0"/>
                <w:numId w:val="10"/>
              </w:numPr>
              <w:tabs>
                <w:tab w:val="left" w:pos="473"/>
                <w:tab w:val="left" w:pos="474"/>
              </w:tabs>
              <w:spacing w:before="49"/>
              <w:ind w:right="124" w:hanging="358"/>
            </w:pPr>
            <w:r w:rsidRPr="001B76EB">
              <w:t>Influence</w:t>
            </w:r>
            <w:r w:rsidRPr="001B76EB">
              <w:rPr>
                <w:spacing w:val="-6"/>
              </w:rPr>
              <w:t xml:space="preserve"> </w:t>
            </w:r>
            <w:r w:rsidRPr="001B76EB">
              <w:t>and</w:t>
            </w:r>
            <w:r w:rsidRPr="001B76EB">
              <w:rPr>
                <w:spacing w:val="-5"/>
              </w:rPr>
              <w:t xml:space="preserve"> </w:t>
            </w:r>
            <w:r w:rsidRPr="001B76EB">
              <w:t>provide</w:t>
            </w:r>
            <w:r w:rsidRPr="001B76EB">
              <w:rPr>
                <w:spacing w:val="-4"/>
              </w:rPr>
              <w:t xml:space="preserve"> </w:t>
            </w:r>
            <w:r w:rsidRPr="001B76EB">
              <w:t>support</w:t>
            </w:r>
            <w:r w:rsidRPr="001B76EB">
              <w:rPr>
                <w:spacing w:val="-5"/>
              </w:rPr>
              <w:t xml:space="preserve"> </w:t>
            </w:r>
            <w:r w:rsidRPr="001B76EB">
              <w:t>in</w:t>
            </w:r>
            <w:r w:rsidRPr="001B76EB">
              <w:rPr>
                <w:spacing w:val="-5"/>
              </w:rPr>
              <w:t xml:space="preserve"> </w:t>
            </w:r>
            <w:r w:rsidRPr="001B76EB">
              <w:t>the</w:t>
            </w:r>
            <w:r w:rsidRPr="001B76EB">
              <w:rPr>
                <w:spacing w:val="-5"/>
              </w:rPr>
              <w:t xml:space="preserve"> </w:t>
            </w:r>
            <w:r w:rsidRPr="001B76EB">
              <w:t>development</w:t>
            </w:r>
            <w:r w:rsidRPr="001B76EB">
              <w:rPr>
                <w:spacing w:val="-5"/>
              </w:rPr>
              <w:t xml:space="preserve"> </w:t>
            </w:r>
            <w:r w:rsidRPr="001B76EB">
              <w:t>and</w:t>
            </w:r>
            <w:r w:rsidRPr="001B76EB">
              <w:rPr>
                <w:spacing w:val="-3"/>
              </w:rPr>
              <w:t xml:space="preserve"> </w:t>
            </w:r>
            <w:r w:rsidRPr="001B76EB">
              <w:t>implementation</w:t>
            </w:r>
            <w:r w:rsidRPr="001B76EB">
              <w:rPr>
                <w:spacing w:val="-3"/>
              </w:rPr>
              <w:t xml:space="preserve"> </w:t>
            </w:r>
            <w:r w:rsidRPr="001B76EB">
              <w:t>of</w:t>
            </w:r>
            <w:r w:rsidRPr="001B76EB">
              <w:rPr>
                <w:spacing w:val="-3"/>
              </w:rPr>
              <w:t xml:space="preserve"> </w:t>
            </w:r>
            <w:r w:rsidRPr="001B76EB">
              <w:t>an</w:t>
            </w:r>
            <w:r w:rsidRPr="001B76EB">
              <w:rPr>
                <w:spacing w:val="-3"/>
              </w:rPr>
              <w:t xml:space="preserve"> </w:t>
            </w:r>
            <w:r w:rsidRPr="001B76EB">
              <w:t>effective</w:t>
            </w:r>
            <w:r w:rsidRPr="001B76EB">
              <w:rPr>
                <w:spacing w:val="-6"/>
              </w:rPr>
              <w:t xml:space="preserve"> </w:t>
            </w:r>
            <w:r w:rsidRPr="001B76EB">
              <w:t>framework and guidelines for the ongoing strategic and operational management of ICT categories, suppliers and contracts in a publicly accountable, multi-</w:t>
            </w:r>
            <w:proofErr w:type="gramStart"/>
            <w:r w:rsidRPr="001B76EB">
              <w:t>million dollar</w:t>
            </w:r>
            <w:proofErr w:type="gramEnd"/>
            <w:r w:rsidRPr="001B76EB">
              <w:rPr>
                <w:spacing w:val="-22"/>
              </w:rPr>
              <w:t xml:space="preserve"> </w:t>
            </w:r>
            <w:r w:rsidRPr="001B76EB">
              <w:t>operation.</w:t>
            </w:r>
          </w:p>
          <w:p w14:paraId="196A1718" w14:textId="77777777" w:rsidR="003F5BA8" w:rsidRPr="001B76EB" w:rsidRDefault="003F5BA8" w:rsidP="001B76EB">
            <w:pPr>
              <w:pStyle w:val="TableParagraph"/>
              <w:numPr>
                <w:ilvl w:val="0"/>
                <w:numId w:val="10"/>
              </w:numPr>
              <w:tabs>
                <w:tab w:val="left" w:pos="473"/>
                <w:tab w:val="left" w:pos="474"/>
              </w:tabs>
              <w:spacing w:before="49"/>
              <w:ind w:right="124" w:hanging="358"/>
            </w:pPr>
          </w:p>
          <w:p w14:paraId="0458A6A9" w14:textId="4647EBAD" w:rsidR="001B76EB" w:rsidRPr="001B76EB" w:rsidRDefault="001B76EB" w:rsidP="001B76EB">
            <w:pPr>
              <w:pStyle w:val="TableParagraph"/>
              <w:tabs>
                <w:tab w:val="left" w:pos="473"/>
                <w:tab w:val="left" w:pos="474"/>
              </w:tabs>
              <w:spacing w:before="49"/>
              <w:ind w:left="115" w:right="124"/>
            </w:pPr>
          </w:p>
        </w:tc>
        <w:tc>
          <w:tcPr>
            <w:tcW w:w="3644" w:type="dxa"/>
            <w:tcBorders>
              <w:left w:val="single" w:sz="6" w:space="0" w:color="1F536B"/>
              <w:bottom w:val="single" w:sz="6" w:space="0" w:color="1F536B"/>
            </w:tcBorders>
          </w:tcPr>
          <w:p w14:paraId="0458A6AA" w14:textId="77777777" w:rsidR="00A771DF" w:rsidRPr="001B76EB" w:rsidRDefault="00A26593">
            <w:pPr>
              <w:pStyle w:val="TableParagraph"/>
              <w:numPr>
                <w:ilvl w:val="0"/>
                <w:numId w:val="9"/>
              </w:numPr>
              <w:tabs>
                <w:tab w:val="left" w:pos="458"/>
                <w:tab w:val="left" w:pos="459"/>
              </w:tabs>
              <w:spacing w:before="38"/>
              <w:ind w:right="114"/>
            </w:pPr>
            <w:r w:rsidRPr="001B76EB">
              <w:t>Fit-for-purpose commercial arrangements and contracts that align with agreed commercial strategies are developed and produced in a robust and effective timeframe.</w:t>
            </w:r>
          </w:p>
          <w:p w14:paraId="0458A6AB" w14:textId="77777777" w:rsidR="00A771DF" w:rsidRPr="001B76EB" w:rsidRDefault="00A26593">
            <w:pPr>
              <w:pStyle w:val="TableParagraph"/>
              <w:numPr>
                <w:ilvl w:val="0"/>
                <w:numId w:val="9"/>
              </w:numPr>
              <w:tabs>
                <w:tab w:val="left" w:pos="458"/>
                <w:tab w:val="left" w:pos="459"/>
              </w:tabs>
              <w:spacing w:before="43"/>
              <w:ind w:right="127"/>
            </w:pPr>
            <w:r w:rsidRPr="001B76EB">
              <w:t xml:space="preserve">Catalogue changes, consumption documents, MOU’s </w:t>
            </w:r>
            <w:proofErr w:type="spellStart"/>
            <w:r w:rsidRPr="001B76EB">
              <w:t>etc</w:t>
            </w:r>
            <w:proofErr w:type="spellEnd"/>
            <w:r w:rsidRPr="001B76EB">
              <w:t xml:space="preserve"> will be promptly turned around to</w:t>
            </w:r>
            <w:r w:rsidRPr="001B76EB">
              <w:rPr>
                <w:spacing w:val="-16"/>
              </w:rPr>
              <w:t xml:space="preserve"> </w:t>
            </w:r>
            <w:r w:rsidRPr="001B76EB">
              <w:t>enable uptake of ICT common capability products and</w:t>
            </w:r>
            <w:r w:rsidRPr="001B76EB">
              <w:rPr>
                <w:spacing w:val="-11"/>
              </w:rPr>
              <w:t xml:space="preserve"> </w:t>
            </w:r>
            <w:r w:rsidRPr="001B76EB">
              <w:t>services.</w:t>
            </w:r>
          </w:p>
          <w:p w14:paraId="0458A6AC" w14:textId="77777777" w:rsidR="00A771DF" w:rsidRPr="001B76EB" w:rsidRDefault="00A26593">
            <w:pPr>
              <w:pStyle w:val="TableParagraph"/>
              <w:numPr>
                <w:ilvl w:val="0"/>
                <w:numId w:val="9"/>
              </w:numPr>
              <w:tabs>
                <w:tab w:val="left" w:pos="458"/>
                <w:tab w:val="left" w:pos="459"/>
              </w:tabs>
              <w:spacing w:before="43"/>
              <w:ind w:right="202"/>
            </w:pPr>
            <w:r w:rsidRPr="001B76EB">
              <w:t>New commercial solutions will be developed for changing market models – as</w:t>
            </w:r>
            <w:r w:rsidRPr="001B76EB">
              <w:rPr>
                <w:spacing w:val="-7"/>
              </w:rPr>
              <w:t xml:space="preserve"> </w:t>
            </w:r>
            <w:r w:rsidRPr="001B76EB">
              <w:t>required.</w:t>
            </w:r>
          </w:p>
          <w:p w14:paraId="0458A6AD" w14:textId="36F1B458" w:rsidR="00A771DF" w:rsidRPr="001B76EB" w:rsidRDefault="00A26593">
            <w:pPr>
              <w:pStyle w:val="TableParagraph"/>
              <w:numPr>
                <w:ilvl w:val="0"/>
                <w:numId w:val="9"/>
              </w:numPr>
              <w:tabs>
                <w:tab w:val="left" w:pos="458"/>
                <w:tab w:val="left" w:pos="459"/>
              </w:tabs>
              <w:spacing w:before="43"/>
              <w:ind w:right="469"/>
            </w:pPr>
            <w:r w:rsidRPr="001B76EB">
              <w:t xml:space="preserve">Highly effective </w:t>
            </w:r>
            <w:r w:rsidR="001B76EB" w:rsidRPr="001B76EB">
              <w:t>Supplier</w:t>
            </w:r>
            <w:r w:rsidRPr="001B76EB">
              <w:t xml:space="preserve"> Governance and Performance frameworks will be in place. Continuously improving value will be obtained from supply relationships.</w:t>
            </w:r>
          </w:p>
          <w:p w14:paraId="0458A6AE" w14:textId="77777777" w:rsidR="00A771DF" w:rsidRPr="001B76EB" w:rsidRDefault="00A26593">
            <w:pPr>
              <w:pStyle w:val="TableParagraph"/>
              <w:numPr>
                <w:ilvl w:val="0"/>
                <w:numId w:val="9"/>
              </w:numPr>
              <w:tabs>
                <w:tab w:val="left" w:pos="458"/>
                <w:tab w:val="left" w:pos="459"/>
              </w:tabs>
              <w:spacing w:before="43"/>
              <w:ind w:right="193"/>
            </w:pPr>
            <w:r w:rsidRPr="001B76EB">
              <w:t>Agency uptake of CC ICT products and services will be facilitated by sound commercial advice and customer feedback will be very positive.</w:t>
            </w:r>
          </w:p>
          <w:p w14:paraId="0458A6AF" w14:textId="01EF1FAC" w:rsidR="001B76EB" w:rsidRPr="001B76EB" w:rsidRDefault="001B76EB" w:rsidP="00CA556C">
            <w:pPr>
              <w:pStyle w:val="TableParagraph"/>
              <w:tabs>
                <w:tab w:val="left" w:pos="458"/>
                <w:tab w:val="left" w:pos="459"/>
              </w:tabs>
              <w:spacing w:before="43"/>
              <w:ind w:left="0" w:right="217"/>
            </w:pPr>
          </w:p>
        </w:tc>
      </w:tr>
    </w:tbl>
    <w:p w14:paraId="0458A6B1" w14:textId="77777777" w:rsidR="00A771DF" w:rsidRDefault="00A771DF">
      <w:pPr>
        <w:rPr>
          <w:sz w:val="24"/>
        </w:rPr>
        <w:sectPr w:rsidR="00A771DF">
          <w:headerReference w:type="default" r:id="rId14"/>
          <w:footerReference w:type="default" r:id="rId15"/>
          <w:pgSz w:w="11910" w:h="16850"/>
          <w:pgMar w:top="1020" w:right="900" w:bottom="860" w:left="1000" w:header="506" w:footer="677" w:gutter="0"/>
          <w:pgNumType w:start="3"/>
          <w:cols w:space="720"/>
        </w:sectPr>
      </w:pPr>
    </w:p>
    <w:p w14:paraId="0458A6B2" w14:textId="40E43D1C" w:rsidR="00A771DF" w:rsidRDefault="00A771DF">
      <w:pPr>
        <w:pStyle w:val="BodyText"/>
        <w:rPr>
          <w:rFonts w:ascii="Times New Roman"/>
          <w:sz w:val="10"/>
        </w:rPr>
      </w:pPr>
    </w:p>
    <w:tbl>
      <w:tblPr>
        <w:tblW w:w="0" w:type="auto"/>
        <w:tblInd w:w="13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105"/>
        <w:gridCol w:w="3631"/>
      </w:tblGrid>
      <w:tr w:rsidR="00A771DF" w14:paraId="0458A6B5" w14:textId="77777777" w:rsidTr="001B76EB">
        <w:trPr>
          <w:trHeight w:hRule="exact" w:val="478"/>
        </w:trPr>
        <w:tc>
          <w:tcPr>
            <w:tcW w:w="6105" w:type="dxa"/>
            <w:shd w:val="clear" w:color="auto" w:fill="1F536B"/>
          </w:tcPr>
          <w:p w14:paraId="0458A6B3" w14:textId="77777777" w:rsidR="00A771DF" w:rsidRDefault="00A26593">
            <w:pPr>
              <w:pStyle w:val="TableParagraph"/>
              <w:spacing w:before="79"/>
              <w:rPr>
                <w:b/>
                <w:sz w:val="26"/>
              </w:rPr>
            </w:pPr>
            <w:r>
              <w:rPr>
                <w:b/>
                <w:color w:val="FFFFFF"/>
                <w:sz w:val="26"/>
              </w:rPr>
              <w:t>What you will do to contribute</w:t>
            </w:r>
          </w:p>
        </w:tc>
        <w:tc>
          <w:tcPr>
            <w:tcW w:w="3631" w:type="dxa"/>
            <w:shd w:val="clear" w:color="auto" w:fill="1F536B"/>
          </w:tcPr>
          <w:p w14:paraId="0458A6B4" w14:textId="77777777" w:rsidR="00A771DF" w:rsidRDefault="00A26593">
            <w:pPr>
              <w:pStyle w:val="TableParagraph"/>
              <w:spacing w:before="79"/>
              <w:ind w:left="107"/>
              <w:rPr>
                <w:b/>
                <w:sz w:val="26"/>
              </w:rPr>
            </w:pPr>
            <w:r>
              <w:rPr>
                <w:b/>
                <w:color w:val="FFFFFF"/>
                <w:sz w:val="26"/>
              </w:rPr>
              <w:t xml:space="preserve">As a </w:t>
            </w:r>
            <w:proofErr w:type="gramStart"/>
            <w:r>
              <w:rPr>
                <w:b/>
                <w:color w:val="FFFFFF"/>
                <w:sz w:val="26"/>
              </w:rPr>
              <w:t>result</w:t>
            </w:r>
            <w:proofErr w:type="gramEnd"/>
            <w:r>
              <w:rPr>
                <w:b/>
                <w:color w:val="FFFFFF"/>
                <w:sz w:val="26"/>
              </w:rPr>
              <w:t xml:space="preserve"> we will see</w:t>
            </w:r>
          </w:p>
        </w:tc>
      </w:tr>
      <w:tr w:rsidR="00A771DF" w:rsidRPr="001B76EB" w14:paraId="0458A6BE" w14:textId="77777777" w:rsidTr="001B76EB">
        <w:trPr>
          <w:trHeight w:hRule="exact" w:val="4517"/>
        </w:trPr>
        <w:tc>
          <w:tcPr>
            <w:tcW w:w="6105" w:type="dxa"/>
            <w:tcBorders>
              <w:bottom w:val="single" w:sz="6" w:space="0" w:color="1F536B"/>
              <w:right w:val="single" w:sz="6" w:space="0" w:color="1F536B"/>
            </w:tcBorders>
          </w:tcPr>
          <w:p w14:paraId="0458A6B6" w14:textId="1DCCC1D4" w:rsidR="00A771DF" w:rsidRPr="001B76EB" w:rsidRDefault="001B76EB">
            <w:pPr>
              <w:pStyle w:val="TableParagraph"/>
              <w:spacing w:before="119"/>
              <w:ind w:left="100" w:right="427"/>
              <w:rPr>
                <w:b/>
              </w:rPr>
            </w:pPr>
            <w:r w:rsidRPr="001B76EB">
              <w:rPr>
                <w:b/>
              </w:rPr>
              <w:t>Supplier</w:t>
            </w:r>
            <w:r w:rsidR="00A26593" w:rsidRPr="001B76EB">
              <w:rPr>
                <w:b/>
              </w:rPr>
              <w:t xml:space="preserve"> Governance Support / Business Performance Measurement</w:t>
            </w:r>
          </w:p>
          <w:p w14:paraId="0458A6B7" w14:textId="1E9F44A6" w:rsidR="00A771DF" w:rsidRPr="001B76EB" w:rsidRDefault="00A26593">
            <w:pPr>
              <w:pStyle w:val="TableParagraph"/>
              <w:numPr>
                <w:ilvl w:val="0"/>
                <w:numId w:val="8"/>
              </w:numPr>
              <w:tabs>
                <w:tab w:val="left" w:pos="458"/>
                <w:tab w:val="left" w:pos="459"/>
              </w:tabs>
              <w:spacing w:before="120"/>
              <w:ind w:right="179" w:hanging="358"/>
            </w:pPr>
            <w:r w:rsidRPr="001B76EB">
              <w:t xml:space="preserve">Assist </w:t>
            </w:r>
            <w:r w:rsidR="000F4E17" w:rsidRPr="001B76EB">
              <w:t xml:space="preserve">Supplier Portfolio &amp; Contract Managers and Category Managers </w:t>
            </w:r>
            <w:r w:rsidRPr="001B76EB">
              <w:t xml:space="preserve">in the effective governance of AoG </w:t>
            </w:r>
            <w:r w:rsidR="001B76EB" w:rsidRPr="001B76EB">
              <w:t>suppliers</w:t>
            </w:r>
            <w:r w:rsidRPr="001B76EB">
              <w:t xml:space="preserve"> by providing</w:t>
            </w:r>
            <w:r w:rsidRPr="001B76EB">
              <w:rPr>
                <w:spacing w:val="-16"/>
              </w:rPr>
              <w:t xml:space="preserve"> </w:t>
            </w:r>
            <w:r w:rsidRPr="001B76EB">
              <w:t>commercial contract, performance re</w:t>
            </w:r>
            <w:r w:rsidR="00BF00F4">
              <w:t>porting, and analytical support.</w:t>
            </w:r>
          </w:p>
          <w:p w14:paraId="0458A6B8" w14:textId="579ADFFA" w:rsidR="00A771DF" w:rsidRPr="001B76EB" w:rsidRDefault="00A26593">
            <w:pPr>
              <w:pStyle w:val="TableParagraph"/>
              <w:numPr>
                <w:ilvl w:val="0"/>
                <w:numId w:val="8"/>
              </w:numPr>
              <w:tabs>
                <w:tab w:val="left" w:pos="458"/>
                <w:tab w:val="left" w:pos="459"/>
              </w:tabs>
              <w:spacing w:before="43"/>
              <w:ind w:right="143" w:hanging="358"/>
            </w:pPr>
            <w:r w:rsidRPr="001B76EB">
              <w:t xml:space="preserve">Collaborate with </w:t>
            </w:r>
            <w:r w:rsidR="000F4E17" w:rsidRPr="001B76EB">
              <w:t xml:space="preserve">Supplier Portfolio &amp; Contract Managers and Category Managers </w:t>
            </w:r>
            <w:r w:rsidRPr="001B76EB">
              <w:t>to continuously review and analyse existing contracts</w:t>
            </w:r>
            <w:r w:rsidRPr="001B76EB">
              <w:rPr>
                <w:spacing w:val="-21"/>
              </w:rPr>
              <w:t xml:space="preserve"> </w:t>
            </w:r>
            <w:r w:rsidRPr="001B76EB">
              <w:t xml:space="preserve">to identify areas to </w:t>
            </w:r>
            <w:proofErr w:type="spellStart"/>
            <w:r w:rsidRPr="001B76EB">
              <w:t>maximise</w:t>
            </w:r>
            <w:proofErr w:type="spellEnd"/>
            <w:r w:rsidRPr="001B76EB">
              <w:t xml:space="preserve"> efficiencies, enhance benefits or optimise</w:t>
            </w:r>
            <w:r w:rsidRPr="001B76EB">
              <w:rPr>
                <w:spacing w:val="-15"/>
              </w:rPr>
              <w:t xml:space="preserve"> </w:t>
            </w:r>
            <w:r w:rsidR="00BF00F4">
              <w:t>costs.</w:t>
            </w:r>
          </w:p>
          <w:p w14:paraId="0458A6B9" w14:textId="77777777" w:rsidR="00A771DF" w:rsidRPr="001B76EB" w:rsidRDefault="00A26593">
            <w:pPr>
              <w:pStyle w:val="TableParagraph"/>
              <w:numPr>
                <w:ilvl w:val="0"/>
                <w:numId w:val="8"/>
              </w:numPr>
              <w:tabs>
                <w:tab w:val="left" w:pos="458"/>
                <w:tab w:val="left" w:pos="459"/>
              </w:tabs>
              <w:spacing w:before="39" w:line="290" w:lineRule="exact"/>
              <w:ind w:right="919" w:hanging="358"/>
            </w:pPr>
            <w:r w:rsidRPr="001B76EB">
              <w:t>Assist with the maintenance of document management systems and reporting</w:t>
            </w:r>
            <w:r w:rsidRPr="001B76EB">
              <w:rPr>
                <w:spacing w:val="-19"/>
              </w:rPr>
              <w:t xml:space="preserve"> </w:t>
            </w:r>
            <w:r w:rsidRPr="001B76EB">
              <w:t>systems.</w:t>
            </w:r>
          </w:p>
          <w:p w14:paraId="0458A6BA" w14:textId="01838E3E" w:rsidR="00A771DF" w:rsidRPr="001B76EB" w:rsidRDefault="003F5BA8">
            <w:pPr>
              <w:pStyle w:val="TableParagraph"/>
              <w:numPr>
                <w:ilvl w:val="0"/>
                <w:numId w:val="8"/>
              </w:numPr>
              <w:tabs>
                <w:tab w:val="left" w:pos="458"/>
                <w:tab w:val="left" w:pos="459"/>
              </w:tabs>
              <w:spacing w:before="49"/>
              <w:ind w:right="675" w:hanging="358"/>
            </w:pPr>
            <w:r>
              <w:t xml:space="preserve">Manage and monitor supplier compliance with contract deliverables for the commercial portfolio. </w:t>
            </w:r>
          </w:p>
        </w:tc>
        <w:tc>
          <w:tcPr>
            <w:tcW w:w="3631" w:type="dxa"/>
            <w:tcBorders>
              <w:left w:val="single" w:sz="6" w:space="0" w:color="1F536B"/>
              <w:bottom w:val="single" w:sz="6" w:space="0" w:color="1F536B"/>
            </w:tcBorders>
          </w:tcPr>
          <w:p w14:paraId="0458A6BB" w14:textId="77777777" w:rsidR="00A771DF" w:rsidRPr="001B76EB" w:rsidRDefault="00A26593">
            <w:pPr>
              <w:pStyle w:val="TableParagraph"/>
              <w:numPr>
                <w:ilvl w:val="0"/>
                <w:numId w:val="7"/>
              </w:numPr>
              <w:tabs>
                <w:tab w:val="left" w:pos="458"/>
                <w:tab w:val="left" w:pos="459"/>
              </w:tabs>
              <w:spacing w:before="38"/>
              <w:ind w:right="272"/>
            </w:pPr>
            <w:r w:rsidRPr="001B76EB">
              <w:t xml:space="preserve">Reporting and document management tools will be up-to- date and </w:t>
            </w:r>
            <w:proofErr w:type="spellStart"/>
            <w:r w:rsidRPr="001B76EB">
              <w:t>optimised</w:t>
            </w:r>
            <w:proofErr w:type="spellEnd"/>
            <w:r w:rsidRPr="001B76EB">
              <w:t>. Analysis of data will be driving change and improvements.</w:t>
            </w:r>
          </w:p>
          <w:p w14:paraId="0458A6BC" w14:textId="6B8F50BC" w:rsidR="00A771DF" w:rsidRPr="001B76EB" w:rsidRDefault="00A26593">
            <w:pPr>
              <w:pStyle w:val="TableParagraph"/>
              <w:numPr>
                <w:ilvl w:val="0"/>
                <w:numId w:val="7"/>
              </w:numPr>
              <w:tabs>
                <w:tab w:val="left" w:pos="458"/>
                <w:tab w:val="left" w:pos="459"/>
              </w:tabs>
              <w:spacing w:before="40"/>
              <w:ind w:right="164"/>
            </w:pPr>
            <w:r w:rsidRPr="001B76EB">
              <w:t>Excellent additional value and innovation will be being delivered through ICT supply relationships and</w:t>
            </w:r>
            <w:r w:rsidRPr="001B76EB">
              <w:rPr>
                <w:spacing w:val="-3"/>
              </w:rPr>
              <w:t xml:space="preserve"> </w:t>
            </w:r>
            <w:r w:rsidRPr="001B76EB">
              <w:t>contracts</w:t>
            </w:r>
            <w:r w:rsidR="00BF00F4">
              <w:t>.</w:t>
            </w:r>
          </w:p>
          <w:p w14:paraId="0458A6BD" w14:textId="77777777" w:rsidR="00A771DF" w:rsidRPr="001B76EB" w:rsidRDefault="00A26593">
            <w:pPr>
              <w:pStyle w:val="TableParagraph"/>
              <w:numPr>
                <w:ilvl w:val="0"/>
                <w:numId w:val="7"/>
              </w:numPr>
              <w:tabs>
                <w:tab w:val="left" w:pos="458"/>
                <w:tab w:val="left" w:pos="459"/>
              </w:tabs>
              <w:ind w:right="577"/>
            </w:pPr>
            <w:r w:rsidRPr="001B76EB">
              <w:t>Expert analysis of data will be driving change and improvements.</w:t>
            </w:r>
          </w:p>
        </w:tc>
      </w:tr>
    </w:tbl>
    <w:tbl>
      <w:tblPr>
        <w:tblStyle w:val="Blanktable"/>
        <w:tblW w:w="0" w:type="auto"/>
        <w:tblInd w:w="224"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6121"/>
        <w:gridCol w:w="75"/>
        <w:gridCol w:w="3319"/>
      </w:tblGrid>
      <w:tr w:rsidR="001B76EB" w:rsidRPr="00363144" w14:paraId="6053CABD" w14:textId="77777777" w:rsidTr="00FD0FB1">
        <w:trPr>
          <w:cantSplit/>
        </w:trPr>
        <w:tc>
          <w:tcPr>
            <w:tcW w:w="6121" w:type="dxa"/>
            <w:tcBorders>
              <w:top w:val="nil"/>
              <w:left w:val="nil"/>
              <w:bottom w:val="single" w:sz="6" w:space="0" w:color="1F497D" w:themeColor="text2"/>
              <w:right w:val="single" w:sz="6" w:space="0" w:color="1F497D" w:themeColor="text2"/>
            </w:tcBorders>
          </w:tcPr>
          <w:p w14:paraId="5EB7C386" w14:textId="3FB1CA8B" w:rsidR="001B76EB" w:rsidRPr="003F5BA8" w:rsidRDefault="001B76EB" w:rsidP="0018021C">
            <w:pPr>
              <w:pStyle w:val="Tablenormal0"/>
              <w:rPr>
                <w:rFonts w:asciiTheme="minorHAnsi" w:hAnsiTheme="minorHAnsi" w:cstheme="minorHAnsi"/>
                <w:b/>
                <w:bCs/>
                <w:sz w:val="22"/>
                <w:szCs w:val="22"/>
              </w:rPr>
            </w:pPr>
            <w:r w:rsidRPr="003F5BA8">
              <w:rPr>
                <w:rFonts w:asciiTheme="minorHAnsi" w:hAnsiTheme="minorHAnsi" w:cstheme="minorHAnsi"/>
                <w:b/>
                <w:bCs/>
                <w:sz w:val="22"/>
                <w:szCs w:val="22"/>
              </w:rPr>
              <w:t xml:space="preserve">Work collaboratively across the team and Group </w:t>
            </w:r>
          </w:p>
          <w:p w14:paraId="4AD4D81A" w14:textId="77777777" w:rsidR="001B76EB" w:rsidRPr="003F5BA8" w:rsidRDefault="001B76EB" w:rsidP="0018021C">
            <w:pPr>
              <w:pStyle w:val="Tablebullet"/>
              <w:rPr>
                <w:rFonts w:eastAsia="Times New Roman"/>
                <w:sz w:val="22"/>
                <w:szCs w:val="22"/>
                <w:lang w:val="en-US"/>
              </w:rPr>
            </w:pPr>
            <w:r w:rsidRPr="003F5BA8">
              <w:rPr>
                <w:sz w:val="22"/>
                <w:szCs w:val="22"/>
              </w:rPr>
              <w:t xml:space="preserve">Proactively work with the Portfolio Management team to develop an understanding of the strategic direction of the commercial portfolio and provide input into commercial product portfolio analysis. </w:t>
            </w:r>
          </w:p>
          <w:p w14:paraId="627330EA" w14:textId="7419311B" w:rsidR="001B76EB" w:rsidRPr="003F5BA8" w:rsidRDefault="001B76EB" w:rsidP="0018021C">
            <w:pPr>
              <w:pStyle w:val="Tablebullet"/>
              <w:rPr>
                <w:sz w:val="22"/>
                <w:szCs w:val="22"/>
                <w:lang w:eastAsia="en-US"/>
              </w:rPr>
            </w:pPr>
            <w:r w:rsidRPr="003F5BA8">
              <w:rPr>
                <w:sz w:val="22"/>
                <w:szCs w:val="22"/>
              </w:rPr>
              <w:t>Work closely with Supplier Portfolio &amp; Contract Managers, Category Managers and others within the team to accurately assess and manage the levels of commercial risk associated with contracts</w:t>
            </w:r>
            <w:r w:rsidR="00BF00F4">
              <w:rPr>
                <w:sz w:val="22"/>
                <w:szCs w:val="22"/>
              </w:rPr>
              <w:t>.</w:t>
            </w:r>
            <w:r w:rsidRPr="003F5BA8">
              <w:rPr>
                <w:sz w:val="22"/>
                <w:szCs w:val="22"/>
              </w:rPr>
              <w:t xml:space="preserve">    </w:t>
            </w:r>
          </w:p>
          <w:p w14:paraId="5269A263" w14:textId="057DDFE9" w:rsidR="00FD0FB1" w:rsidRPr="003F5BA8" w:rsidRDefault="00FD0FB1" w:rsidP="00FD0FB1">
            <w:pPr>
              <w:pStyle w:val="Tablebullet"/>
              <w:rPr>
                <w:rFonts w:asciiTheme="minorHAnsi" w:hAnsiTheme="minorHAnsi" w:cstheme="minorHAnsi"/>
                <w:sz w:val="22"/>
                <w:szCs w:val="22"/>
              </w:rPr>
            </w:pPr>
            <w:r w:rsidRPr="003F5BA8">
              <w:rPr>
                <w:rFonts w:asciiTheme="minorHAnsi" w:eastAsia="Times New Roman" w:hAnsiTheme="minorHAnsi" w:cstheme="minorHAnsi"/>
                <w:sz w:val="22"/>
                <w:szCs w:val="22"/>
              </w:rPr>
              <w:t>Work with the Procurement Manager to provide input and expertise into the development of sourcing strategy and plans that contribute to the ongoing delivery of the portfolio of shared capabilities</w:t>
            </w:r>
            <w:r w:rsidR="00BF00F4">
              <w:rPr>
                <w:rFonts w:asciiTheme="minorHAnsi" w:eastAsia="Times New Roman" w:hAnsiTheme="minorHAnsi" w:cstheme="minorHAnsi"/>
                <w:sz w:val="22"/>
                <w:szCs w:val="22"/>
              </w:rPr>
              <w:t>.</w:t>
            </w:r>
            <w:r w:rsidRPr="003F5BA8">
              <w:rPr>
                <w:rFonts w:asciiTheme="minorHAnsi" w:eastAsia="Times New Roman" w:hAnsiTheme="minorHAnsi" w:cstheme="minorHAnsi"/>
                <w:sz w:val="22"/>
                <w:szCs w:val="22"/>
              </w:rPr>
              <w:t xml:space="preserve"> </w:t>
            </w:r>
          </w:p>
          <w:p w14:paraId="64BED2EE" w14:textId="77777777" w:rsidR="001B76EB" w:rsidRPr="003F5BA8" w:rsidRDefault="001B76EB" w:rsidP="0018021C">
            <w:pPr>
              <w:pStyle w:val="Tablebullet"/>
              <w:rPr>
                <w:sz w:val="22"/>
                <w:szCs w:val="22"/>
              </w:rPr>
            </w:pPr>
            <w:r w:rsidRPr="003F5BA8">
              <w:rPr>
                <w:sz w:val="22"/>
                <w:szCs w:val="22"/>
                <w:lang w:val="en-US"/>
              </w:rPr>
              <w:t>Proactively look for opportunities to share knowledge and intel with colleagues; drive</w:t>
            </w:r>
            <w:r w:rsidRPr="003F5BA8">
              <w:rPr>
                <w:sz w:val="22"/>
                <w:szCs w:val="22"/>
              </w:rPr>
              <w:t xml:space="preserve"> and enable information sharing and collaboration with other AoG SD teams and the wider branch. </w:t>
            </w:r>
          </w:p>
          <w:p w14:paraId="07AED499" w14:textId="77777777" w:rsidR="001B76EB" w:rsidRPr="003F5BA8" w:rsidRDefault="001B76EB" w:rsidP="0018021C">
            <w:pPr>
              <w:pStyle w:val="Tablebullet"/>
              <w:rPr>
                <w:sz w:val="22"/>
                <w:szCs w:val="22"/>
              </w:rPr>
            </w:pPr>
            <w:r w:rsidRPr="003F5BA8">
              <w:rPr>
                <w:sz w:val="22"/>
                <w:szCs w:val="22"/>
              </w:rPr>
              <w:t xml:space="preserve">Proactively support a collaborative team culture; work to establish a common direction and shared understanding of goals and team values.  </w:t>
            </w:r>
          </w:p>
        </w:tc>
        <w:tc>
          <w:tcPr>
            <w:tcW w:w="3394" w:type="dxa"/>
            <w:gridSpan w:val="2"/>
            <w:tcBorders>
              <w:top w:val="nil"/>
              <w:left w:val="single" w:sz="6" w:space="0" w:color="1F497D" w:themeColor="text2"/>
              <w:bottom w:val="single" w:sz="6" w:space="0" w:color="1F497D" w:themeColor="text2"/>
              <w:right w:val="nil"/>
            </w:tcBorders>
          </w:tcPr>
          <w:p w14:paraId="591EA6C8" w14:textId="49038DF0" w:rsidR="001B76EB" w:rsidRPr="003F5BA8" w:rsidRDefault="001B76EB" w:rsidP="0018021C">
            <w:pPr>
              <w:pStyle w:val="Tablebullet"/>
              <w:rPr>
                <w:rFonts w:asciiTheme="minorHAnsi" w:hAnsiTheme="minorHAnsi" w:cstheme="minorHAnsi"/>
                <w:sz w:val="22"/>
                <w:szCs w:val="22"/>
                <w:lang w:eastAsia="en-US"/>
              </w:rPr>
            </w:pPr>
            <w:r w:rsidRPr="003F5BA8">
              <w:rPr>
                <w:rFonts w:asciiTheme="minorHAnsi" w:hAnsiTheme="minorHAnsi" w:cstheme="minorHAnsi"/>
                <w:sz w:val="22"/>
                <w:szCs w:val="22"/>
                <w:lang w:val="en-US"/>
              </w:rPr>
              <w:t>Commercial &amp; Supplier Relationships</w:t>
            </w:r>
            <w:r w:rsidRPr="003F5BA8">
              <w:rPr>
                <w:rFonts w:asciiTheme="minorHAnsi" w:eastAsia="Times New Roman" w:hAnsiTheme="minorHAnsi" w:cstheme="minorHAnsi"/>
                <w:sz w:val="22"/>
                <w:szCs w:val="22"/>
              </w:rPr>
              <w:t xml:space="preserve"> team working collaboratively to deliver seamless and joined up services</w:t>
            </w:r>
            <w:r w:rsidR="00BF00F4">
              <w:rPr>
                <w:rFonts w:asciiTheme="minorHAnsi" w:eastAsia="Times New Roman" w:hAnsiTheme="minorHAnsi" w:cstheme="minorHAnsi"/>
                <w:sz w:val="22"/>
                <w:szCs w:val="22"/>
              </w:rPr>
              <w:t>.</w:t>
            </w:r>
            <w:r w:rsidRPr="003F5BA8">
              <w:rPr>
                <w:rFonts w:asciiTheme="minorHAnsi" w:eastAsia="Times New Roman" w:hAnsiTheme="minorHAnsi" w:cstheme="minorHAnsi"/>
                <w:sz w:val="22"/>
                <w:szCs w:val="22"/>
              </w:rPr>
              <w:t xml:space="preserve">  </w:t>
            </w:r>
          </w:p>
          <w:p w14:paraId="07F11F26" w14:textId="2869150B" w:rsidR="001B76EB" w:rsidRPr="003F5BA8" w:rsidRDefault="001B76EB" w:rsidP="0018021C">
            <w:pPr>
              <w:pStyle w:val="Tablebullet"/>
              <w:rPr>
                <w:rFonts w:asciiTheme="minorHAnsi" w:hAnsiTheme="minorHAnsi" w:cstheme="minorHAnsi"/>
                <w:sz w:val="22"/>
                <w:szCs w:val="22"/>
              </w:rPr>
            </w:pPr>
            <w:r w:rsidRPr="003F5BA8">
              <w:rPr>
                <w:rFonts w:asciiTheme="minorHAnsi" w:hAnsiTheme="minorHAnsi" w:cstheme="minorHAnsi"/>
                <w:sz w:val="22"/>
                <w:szCs w:val="22"/>
              </w:rPr>
              <w:t>Sharing of knowledge and intel for the betterment of individual and team practice and development</w:t>
            </w:r>
            <w:r w:rsidR="00BF00F4">
              <w:rPr>
                <w:rFonts w:asciiTheme="minorHAnsi" w:hAnsiTheme="minorHAnsi" w:cstheme="minorHAnsi"/>
                <w:sz w:val="22"/>
                <w:szCs w:val="22"/>
              </w:rPr>
              <w:t>.</w:t>
            </w:r>
          </w:p>
          <w:p w14:paraId="4844BC23" w14:textId="1471CCBC" w:rsidR="001B76EB" w:rsidRPr="003F5BA8" w:rsidRDefault="001B76EB" w:rsidP="0018021C">
            <w:pPr>
              <w:pStyle w:val="Tablebullet"/>
              <w:rPr>
                <w:rFonts w:asciiTheme="minorHAnsi" w:hAnsiTheme="minorHAnsi" w:cstheme="minorHAnsi"/>
                <w:sz w:val="22"/>
                <w:szCs w:val="22"/>
                <w:lang w:eastAsia="en-US"/>
              </w:rPr>
            </w:pPr>
            <w:r w:rsidRPr="003F5BA8">
              <w:rPr>
                <w:rFonts w:asciiTheme="minorHAnsi" w:eastAsia="Times New Roman" w:hAnsiTheme="minorHAnsi" w:cstheme="minorHAnsi"/>
                <w:sz w:val="22"/>
                <w:szCs w:val="22"/>
              </w:rPr>
              <w:t>Adaptive and productive work environment and conditions that al</w:t>
            </w:r>
            <w:r w:rsidR="00BF00F4">
              <w:rPr>
                <w:rFonts w:asciiTheme="minorHAnsi" w:eastAsia="Times New Roman" w:hAnsiTheme="minorHAnsi" w:cstheme="minorHAnsi"/>
                <w:sz w:val="22"/>
                <w:szCs w:val="22"/>
              </w:rPr>
              <w:t>low the team to be successful.</w:t>
            </w:r>
          </w:p>
          <w:p w14:paraId="0FF2618F" w14:textId="4B56EF2F" w:rsidR="001B76EB" w:rsidRPr="003F5BA8" w:rsidRDefault="001B76EB" w:rsidP="0018021C">
            <w:pPr>
              <w:pStyle w:val="Tablebullet"/>
              <w:rPr>
                <w:rFonts w:asciiTheme="minorHAnsi" w:hAnsiTheme="minorHAnsi" w:cstheme="minorHAnsi"/>
                <w:sz w:val="22"/>
                <w:szCs w:val="22"/>
                <w:lang w:eastAsia="en-US"/>
              </w:rPr>
            </w:pPr>
            <w:r w:rsidRPr="003F5BA8">
              <w:rPr>
                <w:rFonts w:asciiTheme="minorHAnsi" w:eastAsia="Times New Roman" w:hAnsiTheme="minorHAnsi" w:cstheme="minorHAnsi"/>
                <w:sz w:val="22"/>
                <w:szCs w:val="22"/>
              </w:rPr>
              <w:t xml:space="preserve">Methods of collaboration and ways of working that enable new insights, creative solutions and ensure </w:t>
            </w:r>
            <w:r w:rsidR="00BF00F4">
              <w:rPr>
                <w:rFonts w:asciiTheme="minorHAnsi" w:eastAsia="Times New Roman" w:hAnsiTheme="minorHAnsi" w:cstheme="minorHAnsi"/>
                <w:sz w:val="22"/>
                <w:szCs w:val="22"/>
              </w:rPr>
              <w:t>successful delivery of the work.</w:t>
            </w:r>
          </w:p>
          <w:p w14:paraId="6095726E" w14:textId="6122ABD9" w:rsidR="001B76EB" w:rsidRPr="003F5BA8" w:rsidRDefault="001B76EB" w:rsidP="001B76EB">
            <w:pPr>
              <w:pStyle w:val="Tablebullet"/>
              <w:rPr>
                <w:rFonts w:asciiTheme="minorHAnsi" w:hAnsiTheme="minorHAnsi" w:cstheme="minorHAnsi"/>
                <w:sz w:val="22"/>
                <w:szCs w:val="22"/>
              </w:rPr>
            </w:pPr>
            <w:r w:rsidRPr="003F5BA8">
              <w:rPr>
                <w:rFonts w:asciiTheme="minorHAnsi" w:eastAsia="Times New Roman" w:hAnsiTheme="minorHAnsi" w:cstheme="minorHAnsi"/>
                <w:sz w:val="22"/>
                <w:szCs w:val="22"/>
              </w:rPr>
              <w:t>Shared accountability for the success of the function and team</w:t>
            </w:r>
            <w:r w:rsidR="00BF00F4">
              <w:rPr>
                <w:rFonts w:asciiTheme="minorHAnsi" w:eastAsia="Times New Roman" w:hAnsiTheme="minorHAnsi" w:cstheme="minorHAnsi"/>
                <w:sz w:val="22"/>
                <w:szCs w:val="22"/>
              </w:rPr>
              <w:t>.</w:t>
            </w:r>
            <w:r w:rsidRPr="003F5BA8">
              <w:rPr>
                <w:rFonts w:asciiTheme="minorHAnsi" w:eastAsia="Times New Roman" w:hAnsiTheme="minorHAnsi" w:cstheme="minorHAnsi"/>
                <w:sz w:val="22"/>
                <w:szCs w:val="22"/>
              </w:rPr>
              <w:t xml:space="preserve"> </w:t>
            </w:r>
          </w:p>
        </w:tc>
      </w:tr>
      <w:tr w:rsidR="00FD0FB1" w:rsidRPr="007D4A0C" w14:paraId="30E0C632" w14:textId="77777777" w:rsidTr="00FD0FB1">
        <w:trPr>
          <w:cantSplit/>
        </w:trPr>
        <w:tc>
          <w:tcPr>
            <w:tcW w:w="6121" w:type="dxa"/>
            <w:tcBorders>
              <w:top w:val="nil"/>
              <w:left w:val="nil"/>
              <w:bottom w:val="single" w:sz="6" w:space="0" w:color="1F497D" w:themeColor="text2"/>
              <w:right w:val="single" w:sz="6" w:space="0" w:color="1F497D" w:themeColor="text2"/>
            </w:tcBorders>
          </w:tcPr>
          <w:p w14:paraId="37E203C1" w14:textId="77777777" w:rsidR="00FD0FB1" w:rsidRPr="007D4A0C" w:rsidRDefault="00FD0FB1" w:rsidP="0018021C">
            <w:pPr>
              <w:pStyle w:val="Tablenormal0"/>
              <w:rPr>
                <w:rFonts w:asciiTheme="minorHAnsi" w:hAnsiTheme="minorHAnsi" w:cstheme="minorHAnsi"/>
                <w:b/>
                <w:bCs/>
                <w:sz w:val="22"/>
                <w:szCs w:val="22"/>
              </w:rPr>
            </w:pPr>
            <w:r w:rsidRPr="007D4A0C">
              <w:rPr>
                <w:rFonts w:asciiTheme="minorHAnsi" w:hAnsiTheme="minorHAnsi" w:cstheme="minorHAnsi"/>
                <w:b/>
                <w:bCs/>
                <w:sz w:val="22"/>
                <w:szCs w:val="22"/>
              </w:rPr>
              <w:t>Stakeholder Management</w:t>
            </w:r>
          </w:p>
          <w:p w14:paraId="74B6D9BA" w14:textId="77777777" w:rsidR="00FD0FB1" w:rsidRPr="007D4A0C" w:rsidRDefault="00FD0FB1" w:rsidP="0018021C">
            <w:pPr>
              <w:pStyle w:val="Tablebullet"/>
              <w:rPr>
                <w:rFonts w:asciiTheme="minorHAnsi" w:hAnsiTheme="minorHAnsi" w:cstheme="minorHAnsi"/>
                <w:sz w:val="22"/>
                <w:szCs w:val="22"/>
              </w:rPr>
            </w:pPr>
            <w:r w:rsidRPr="007D4A0C">
              <w:rPr>
                <w:rFonts w:asciiTheme="minorHAnsi" w:eastAsia="Times New Roman" w:hAnsiTheme="minorHAnsi" w:cstheme="minorHAnsi"/>
                <w:sz w:val="22"/>
                <w:szCs w:val="22"/>
              </w:rPr>
              <w:t xml:space="preserve">Develop and maintain effective working relationships with key internal and external stakeholders to ensure the Commercial &amp; Supplier Relationships Team works effectively across the </w:t>
            </w:r>
            <w:r>
              <w:rPr>
                <w:rFonts w:asciiTheme="minorHAnsi" w:eastAsia="Times New Roman" w:hAnsiTheme="minorHAnsi" w:cstheme="minorHAnsi"/>
                <w:sz w:val="22"/>
                <w:szCs w:val="22"/>
              </w:rPr>
              <w:t xml:space="preserve">Group, Branch and wider </w:t>
            </w:r>
            <w:r w:rsidRPr="007D4A0C">
              <w:rPr>
                <w:rFonts w:asciiTheme="minorHAnsi" w:eastAsia="Times New Roman" w:hAnsiTheme="minorHAnsi" w:cstheme="minorHAnsi"/>
                <w:sz w:val="22"/>
                <w:szCs w:val="22"/>
              </w:rPr>
              <w:t xml:space="preserve">system.  </w:t>
            </w:r>
          </w:p>
          <w:p w14:paraId="25CBB3E0" w14:textId="0A279281" w:rsidR="00FD0FB1" w:rsidRPr="007D4A0C" w:rsidRDefault="00FD0FB1" w:rsidP="0018021C">
            <w:pPr>
              <w:pStyle w:val="Tablebullet"/>
              <w:rPr>
                <w:rFonts w:asciiTheme="minorHAnsi" w:hAnsiTheme="minorHAnsi" w:cstheme="minorHAnsi"/>
                <w:sz w:val="22"/>
                <w:szCs w:val="22"/>
              </w:rPr>
            </w:pPr>
            <w:r w:rsidRPr="007D4A0C">
              <w:rPr>
                <w:rFonts w:asciiTheme="minorHAnsi" w:eastAsia="Times New Roman" w:hAnsiTheme="minorHAnsi" w:cstheme="minorHAnsi"/>
                <w:sz w:val="22"/>
                <w:szCs w:val="22"/>
              </w:rPr>
              <w:t>Engage with internal stakeholders and act as a conduit between teams to ensure that suppliers and contracts are managed in accordance with strategic frameworks, policies and guidelines</w:t>
            </w:r>
            <w:r w:rsidR="00BF00F4">
              <w:rPr>
                <w:rFonts w:asciiTheme="minorHAnsi" w:eastAsia="Times New Roman" w:hAnsiTheme="minorHAnsi" w:cstheme="minorHAnsi"/>
                <w:sz w:val="22"/>
                <w:szCs w:val="22"/>
              </w:rPr>
              <w:t>.</w:t>
            </w:r>
            <w:r w:rsidRPr="007D4A0C">
              <w:rPr>
                <w:rFonts w:asciiTheme="minorHAnsi" w:eastAsia="Times New Roman" w:hAnsiTheme="minorHAnsi" w:cstheme="minorHAnsi"/>
                <w:sz w:val="22"/>
                <w:szCs w:val="22"/>
              </w:rPr>
              <w:t xml:space="preserve">    </w:t>
            </w:r>
          </w:p>
        </w:tc>
        <w:tc>
          <w:tcPr>
            <w:tcW w:w="3394" w:type="dxa"/>
            <w:gridSpan w:val="2"/>
            <w:tcBorders>
              <w:top w:val="nil"/>
              <w:left w:val="single" w:sz="6" w:space="0" w:color="1F497D" w:themeColor="text2"/>
              <w:bottom w:val="single" w:sz="6" w:space="0" w:color="1F497D" w:themeColor="text2"/>
              <w:right w:val="nil"/>
            </w:tcBorders>
          </w:tcPr>
          <w:p w14:paraId="12C0633B" w14:textId="2B2C1D35" w:rsidR="00FD0FB1" w:rsidRPr="007D4A0C" w:rsidRDefault="00FD0FB1" w:rsidP="0018021C">
            <w:pPr>
              <w:pStyle w:val="Tablebullet"/>
              <w:rPr>
                <w:rFonts w:asciiTheme="minorHAnsi" w:hAnsiTheme="minorHAnsi" w:cstheme="minorHAnsi"/>
                <w:sz w:val="22"/>
                <w:szCs w:val="22"/>
              </w:rPr>
            </w:pPr>
            <w:r w:rsidRPr="007D4A0C">
              <w:rPr>
                <w:rFonts w:asciiTheme="minorHAnsi" w:eastAsia="Times New Roman" w:hAnsiTheme="minorHAnsi" w:cstheme="minorHAnsi"/>
                <w:sz w:val="22"/>
                <w:szCs w:val="22"/>
              </w:rPr>
              <w:t>Recognised by stakeholders as a trusted advisor</w:t>
            </w:r>
            <w:r w:rsidR="00BF00F4">
              <w:rPr>
                <w:rFonts w:asciiTheme="minorHAnsi" w:eastAsia="Times New Roman" w:hAnsiTheme="minorHAnsi" w:cstheme="minorHAnsi"/>
                <w:sz w:val="22"/>
                <w:szCs w:val="22"/>
              </w:rPr>
              <w:t>.</w:t>
            </w:r>
            <w:r w:rsidRPr="007D4A0C">
              <w:rPr>
                <w:rFonts w:asciiTheme="minorHAnsi" w:eastAsia="Times New Roman" w:hAnsiTheme="minorHAnsi" w:cstheme="minorHAnsi"/>
                <w:sz w:val="22"/>
                <w:szCs w:val="22"/>
              </w:rPr>
              <w:t xml:space="preserve">    </w:t>
            </w:r>
          </w:p>
          <w:p w14:paraId="79AB9384" w14:textId="56693286" w:rsidR="00FD0FB1" w:rsidRPr="007D4A0C" w:rsidRDefault="00FD0FB1" w:rsidP="0018021C">
            <w:pPr>
              <w:pStyle w:val="Tablebullet"/>
              <w:rPr>
                <w:rFonts w:asciiTheme="minorHAnsi" w:hAnsiTheme="minorHAnsi" w:cstheme="minorHAnsi"/>
                <w:sz w:val="22"/>
                <w:szCs w:val="22"/>
              </w:rPr>
            </w:pPr>
            <w:r w:rsidRPr="007D4A0C">
              <w:rPr>
                <w:rFonts w:asciiTheme="minorHAnsi" w:eastAsia="Times New Roman" w:hAnsiTheme="minorHAnsi" w:cstheme="minorHAnsi"/>
                <w:sz w:val="22"/>
                <w:szCs w:val="22"/>
              </w:rPr>
              <w:t>All advice, analysis, processes and practices developed by the team incorporates input from relevant stakeholders</w:t>
            </w:r>
            <w:r w:rsidR="00BF00F4">
              <w:rPr>
                <w:rFonts w:asciiTheme="minorHAnsi" w:eastAsia="Times New Roman" w:hAnsiTheme="minorHAnsi" w:cstheme="minorHAnsi"/>
                <w:sz w:val="22"/>
                <w:szCs w:val="22"/>
              </w:rPr>
              <w:t>.</w:t>
            </w:r>
          </w:p>
          <w:p w14:paraId="46471AED" w14:textId="77777777" w:rsidR="00FD0FB1" w:rsidRPr="007D4A0C" w:rsidRDefault="00FD0FB1" w:rsidP="0018021C">
            <w:pPr>
              <w:pStyle w:val="Tablebullet"/>
              <w:rPr>
                <w:rFonts w:asciiTheme="minorHAnsi" w:hAnsiTheme="minorHAnsi" w:cstheme="minorHAnsi"/>
                <w:sz w:val="22"/>
                <w:szCs w:val="22"/>
              </w:rPr>
            </w:pPr>
            <w:r w:rsidRPr="007D4A0C">
              <w:rPr>
                <w:rFonts w:asciiTheme="minorHAnsi" w:eastAsia="Times New Roman" w:hAnsiTheme="minorHAnsi" w:cstheme="minorHAnsi"/>
                <w:sz w:val="22"/>
                <w:szCs w:val="22"/>
              </w:rPr>
              <w:t xml:space="preserve">Good working relationships are maintained internally and externally with stakeholders.  </w:t>
            </w:r>
          </w:p>
        </w:tc>
      </w:tr>
      <w:tr w:rsidR="00FD0FB1" w:rsidRPr="000B40EE" w14:paraId="1F7FC61B" w14:textId="77777777" w:rsidTr="00FD0FB1">
        <w:trPr>
          <w:cantSplit/>
        </w:trPr>
        <w:tc>
          <w:tcPr>
            <w:tcW w:w="6196" w:type="dxa"/>
            <w:gridSpan w:val="2"/>
            <w:tcBorders>
              <w:top w:val="nil"/>
              <w:left w:val="nil"/>
              <w:bottom w:val="single" w:sz="6" w:space="0" w:color="1F497D" w:themeColor="text2"/>
              <w:right w:val="single" w:sz="6" w:space="0" w:color="1F497D" w:themeColor="text2"/>
            </w:tcBorders>
          </w:tcPr>
          <w:p w14:paraId="335765C2" w14:textId="367DA6C8" w:rsidR="00FD0FB1" w:rsidRPr="00DF5F55" w:rsidRDefault="00BF00F4" w:rsidP="0018021C">
            <w:pPr>
              <w:pStyle w:val="Tablenormal0"/>
              <w:rPr>
                <w:b/>
                <w:bCs/>
                <w:sz w:val="22"/>
                <w:szCs w:val="22"/>
              </w:rPr>
            </w:pPr>
            <w:r>
              <w:rPr>
                <w:b/>
                <w:bCs/>
                <w:sz w:val="22"/>
                <w:szCs w:val="22"/>
              </w:rPr>
              <w:lastRenderedPageBreak/>
              <w:t>Thought Leadership and Best P</w:t>
            </w:r>
            <w:r w:rsidR="00FD0FB1" w:rsidRPr="00DF5F55">
              <w:rPr>
                <w:b/>
                <w:bCs/>
                <w:sz w:val="22"/>
                <w:szCs w:val="22"/>
              </w:rPr>
              <w:t>ractice</w:t>
            </w:r>
          </w:p>
          <w:p w14:paraId="373167DE" w14:textId="0D7410D7" w:rsidR="00FD0FB1" w:rsidRPr="00C91C28" w:rsidRDefault="00FD0FB1" w:rsidP="0018021C">
            <w:pPr>
              <w:pStyle w:val="Tablebullet"/>
              <w:rPr>
                <w:rFonts w:asciiTheme="minorHAnsi" w:hAnsiTheme="minorHAnsi" w:cstheme="minorHAnsi"/>
                <w:sz w:val="22"/>
                <w:szCs w:val="22"/>
              </w:rPr>
            </w:pPr>
            <w:r w:rsidRPr="00DF5F55">
              <w:rPr>
                <w:rFonts w:asciiTheme="minorHAnsi" w:eastAsia="Times New Roman" w:hAnsiTheme="minorHAnsi" w:cstheme="minorHAnsi"/>
                <w:sz w:val="22"/>
                <w:szCs w:val="22"/>
              </w:rPr>
              <w:t xml:space="preserve">Contribute to open All of Government dialogue regarding </w:t>
            </w:r>
            <w:r w:rsidR="003F5BA8">
              <w:rPr>
                <w:rFonts w:asciiTheme="minorHAnsi" w:eastAsia="Times New Roman" w:hAnsiTheme="minorHAnsi" w:cstheme="minorHAnsi"/>
                <w:sz w:val="22"/>
                <w:szCs w:val="22"/>
              </w:rPr>
              <w:t>commercial and contractual</w:t>
            </w:r>
            <w:r w:rsidR="003F5BA8" w:rsidRPr="00DF5F55">
              <w:rPr>
                <w:rFonts w:asciiTheme="minorHAnsi" w:eastAsia="Times New Roman" w:hAnsiTheme="minorHAnsi" w:cstheme="minorHAnsi"/>
                <w:sz w:val="22"/>
                <w:szCs w:val="22"/>
              </w:rPr>
              <w:t xml:space="preserve"> </w:t>
            </w:r>
            <w:r w:rsidRPr="00DF5F55">
              <w:rPr>
                <w:rFonts w:asciiTheme="minorHAnsi" w:eastAsia="Times New Roman" w:hAnsiTheme="minorHAnsi" w:cstheme="minorHAnsi"/>
                <w:sz w:val="22"/>
                <w:szCs w:val="22"/>
              </w:rPr>
              <w:t>management practices</w:t>
            </w:r>
            <w:r w:rsidR="00BF00F4">
              <w:rPr>
                <w:rFonts w:asciiTheme="minorHAnsi" w:eastAsia="Times New Roman" w:hAnsiTheme="minorHAnsi" w:cstheme="minorHAnsi"/>
                <w:sz w:val="22"/>
                <w:szCs w:val="22"/>
              </w:rPr>
              <w:t>.</w:t>
            </w:r>
            <w:r w:rsidRPr="00DF5F55">
              <w:rPr>
                <w:rFonts w:asciiTheme="minorHAnsi" w:eastAsia="Times New Roman" w:hAnsiTheme="minorHAnsi" w:cstheme="minorHAnsi"/>
                <w:sz w:val="22"/>
                <w:szCs w:val="22"/>
              </w:rPr>
              <w:t xml:space="preserve"> </w:t>
            </w:r>
          </w:p>
          <w:p w14:paraId="7D6A70D5" w14:textId="38B6B4D7" w:rsidR="00FD0FB1" w:rsidRPr="00DF5F55" w:rsidRDefault="00FD0FB1" w:rsidP="0018021C">
            <w:pPr>
              <w:pStyle w:val="Tablebullet"/>
              <w:rPr>
                <w:rFonts w:asciiTheme="minorHAnsi" w:eastAsia="Times New Roman" w:hAnsiTheme="minorHAnsi" w:cstheme="minorHAnsi"/>
                <w:sz w:val="22"/>
                <w:szCs w:val="22"/>
              </w:rPr>
            </w:pPr>
            <w:r>
              <w:rPr>
                <w:rFonts w:asciiTheme="minorHAnsi" w:hAnsiTheme="minorHAnsi" w:cstheme="minorHAnsi"/>
                <w:sz w:val="22"/>
                <w:szCs w:val="22"/>
              </w:rPr>
              <w:t>I</w:t>
            </w:r>
            <w:r w:rsidRPr="00DF5F55">
              <w:rPr>
                <w:rFonts w:asciiTheme="minorHAnsi" w:hAnsiTheme="minorHAnsi" w:cstheme="minorHAnsi"/>
                <w:sz w:val="22"/>
                <w:szCs w:val="22"/>
              </w:rPr>
              <w:t xml:space="preserve">dentify </w:t>
            </w:r>
            <w:r w:rsidRPr="00DF5F55">
              <w:rPr>
                <w:rFonts w:asciiTheme="minorHAnsi" w:eastAsia="Times New Roman" w:hAnsiTheme="minorHAnsi" w:cstheme="minorHAnsi"/>
                <w:sz w:val="22"/>
                <w:szCs w:val="22"/>
              </w:rPr>
              <w:t>opportunities to improve the customer experience and satisfaction with AoG SD services</w:t>
            </w:r>
            <w:r w:rsidR="00BF00F4">
              <w:rPr>
                <w:rFonts w:asciiTheme="minorHAnsi" w:eastAsia="Times New Roman" w:hAnsiTheme="minorHAnsi" w:cstheme="minorHAnsi"/>
                <w:sz w:val="22"/>
                <w:szCs w:val="22"/>
              </w:rPr>
              <w:t>.</w:t>
            </w:r>
            <w:r w:rsidRPr="00DF5F55">
              <w:rPr>
                <w:rFonts w:asciiTheme="minorHAnsi" w:eastAsia="Times New Roman" w:hAnsiTheme="minorHAnsi" w:cstheme="minorHAnsi"/>
                <w:sz w:val="22"/>
                <w:szCs w:val="22"/>
              </w:rPr>
              <w:t xml:space="preserve">  </w:t>
            </w:r>
          </w:p>
          <w:p w14:paraId="77779CA1" w14:textId="1F3D22D8" w:rsidR="00FD0FB1" w:rsidRPr="00DF5F55" w:rsidRDefault="00FD0FB1" w:rsidP="0018021C">
            <w:pPr>
              <w:pStyle w:val="Tablebullet"/>
              <w:rPr>
                <w:sz w:val="22"/>
                <w:szCs w:val="22"/>
              </w:rPr>
            </w:pPr>
            <w:r w:rsidRPr="00DF5F55">
              <w:rPr>
                <w:sz w:val="22"/>
                <w:szCs w:val="22"/>
              </w:rPr>
              <w:t xml:space="preserve">Provide feedback for the improvement of the </w:t>
            </w:r>
            <w:r w:rsidR="003F5BA8">
              <w:rPr>
                <w:sz w:val="22"/>
                <w:szCs w:val="22"/>
              </w:rPr>
              <w:t>commercial and contractual management</w:t>
            </w:r>
            <w:r w:rsidR="003F5BA8" w:rsidRPr="00DF5F55">
              <w:rPr>
                <w:sz w:val="22"/>
                <w:szCs w:val="22"/>
              </w:rPr>
              <w:t xml:space="preserve"> </w:t>
            </w:r>
            <w:r w:rsidRPr="00DF5F55">
              <w:rPr>
                <w:sz w:val="22"/>
                <w:szCs w:val="22"/>
              </w:rPr>
              <w:t xml:space="preserve">procedures, practice and documentation.  </w:t>
            </w:r>
          </w:p>
          <w:p w14:paraId="42C0B311" w14:textId="77777777" w:rsidR="00FD0FB1" w:rsidRPr="00DF5F55" w:rsidRDefault="00FD0FB1" w:rsidP="0018021C">
            <w:pPr>
              <w:pStyle w:val="Tablebullet"/>
              <w:rPr>
                <w:sz w:val="22"/>
                <w:szCs w:val="22"/>
              </w:rPr>
            </w:pPr>
            <w:r w:rsidRPr="00DF5F55">
              <w:rPr>
                <w:sz w:val="22"/>
                <w:szCs w:val="22"/>
              </w:rPr>
              <w:t>Contribute to the development of digital tools to manage the procurement process.</w:t>
            </w:r>
          </w:p>
          <w:p w14:paraId="75A26046" w14:textId="54446070" w:rsidR="00FD0FB1" w:rsidRPr="00DF5F55" w:rsidRDefault="00FD0FB1" w:rsidP="0018021C">
            <w:pPr>
              <w:pStyle w:val="Tablebullet"/>
              <w:rPr>
                <w:sz w:val="22"/>
                <w:szCs w:val="22"/>
              </w:rPr>
            </w:pPr>
            <w:r w:rsidRPr="00DF5F55">
              <w:rPr>
                <w:sz w:val="22"/>
                <w:szCs w:val="22"/>
              </w:rPr>
              <w:t>Maintain up to date knowledge of innovative procurement practices</w:t>
            </w:r>
            <w:r w:rsidR="00BF00F4">
              <w:rPr>
                <w:sz w:val="22"/>
                <w:szCs w:val="22"/>
              </w:rPr>
              <w:t>.</w:t>
            </w:r>
            <w:r w:rsidRPr="00DF5F55">
              <w:rPr>
                <w:sz w:val="22"/>
                <w:szCs w:val="22"/>
              </w:rPr>
              <w:t xml:space="preserve"> </w:t>
            </w:r>
          </w:p>
        </w:tc>
        <w:tc>
          <w:tcPr>
            <w:tcW w:w="3319" w:type="dxa"/>
            <w:tcBorders>
              <w:top w:val="nil"/>
              <w:left w:val="single" w:sz="6" w:space="0" w:color="1F497D" w:themeColor="text2"/>
              <w:bottom w:val="single" w:sz="6" w:space="0" w:color="1F497D" w:themeColor="text2"/>
              <w:right w:val="nil"/>
            </w:tcBorders>
          </w:tcPr>
          <w:p w14:paraId="71545A1C" w14:textId="77777777" w:rsidR="00FD0FB1" w:rsidRPr="00DF5F55" w:rsidRDefault="00FD0FB1" w:rsidP="0018021C">
            <w:pPr>
              <w:pStyle w:val="Tablebullet"/>
              <w:rPr>
                <w:sz w:val="22"/>
                <w:szCs w:val="22"/>
              </w:rPr>
            </w:pPr>
            <w:r w:rsidRPr="00DF5F55">
              <w:rPr>
                <w:sz w:val="22"/>
                <w:szCs w:val="22"/>
              </w:rPr>
              <w:t>DPS is recognised as exemplar in the field of ICT procurement and modern, innovative commercial contract development.</w:t>
            </w:r>
          </w:p>
          <w:p w14:paraId="4C11C79A" w14:textId="5E349BB3" w:rsidR="00FD0FB1" w:rsidRPr="00DF5F55" w:rsidRDefault="00FD0FB1" w:rsidP="0018021C">
            <w:pPr>
              <w:pStyle w:val="Tablebullet"/>
              <w:rPr>
                <w:sz w:val="22"/>
                <w:szCs w:val="22"/>
              </w:rPr>
            </w:pPr>
            <w:r w:rsidRPr="00DF5F55">
              <w:rPr>
                <w:sz w:val="22"/>
                <w:szCs w:val="22"/>
              </w:rPr>
              <w:t>Continuous improvement</w:t>
            </w:r>
            <w:r>
              <w:rPr>
                <w:sz w:val="22"/>
                <w:szCs w:val="22"/>
              </w:rPr>
              <w:t xml:space="preserve"> of procurement practice and procedures</w:t>
            </w:r>
            <w:r w:rsidR="00BF00F4">
              <w:rPr>
                <w:sz w:val="22"/>
                <w:szCs w:val="22"/>
              </w:rPr>
              <w:t>.</w:t>
            </w:r>
          </w:p>
          <w:p w14:paraId="61233A48" w14:textId="23461B43" w:rsidR="00FD0FB1" w:rsidRPr="00DF5F55" w:rsidRDefault="00FD0FB1" w:rsidP="0018021C">
            <w:pPr>
              <w:pStyle w:val="Tablebullet"/>
              <w:rPr>
                <w:sz w:val="22"/>
                <w:szCs w:val="22"/>
              </w:rPr>
            </w:pPr>
            <w:r w:rsidRPr="00DF5F55">
              <w:rPr>
                <w:sz w:val="22"/>
                <w:szCs w:val="22"/>
              </w:rPr>
              <w:t>Continuous development of personal knowledge and practice</w:t>
            </w:r>
            <w:r w:rsidR="00BF00F4">
              <w:rPr>
                <w:sz w:val="22"/>
                <w:szCs w:val="22"/>
              </w:rPr>
              <w:t>.</w:t>
            </w:r>
          </w:p>
        </w:tc>
      </w:tr>
      <w:tr w:rsidR="00BF00F4" w:rsidRPr="000B40EE" w14:paraId="0807F5FC" w14:textId="77777777" w:rsidTr="00FD0FB1">
        <w:trPr>
          <w:cantSplit/>
        </w:trPr>
        <w:tc>
          <w:tcPr>
            <w:tcW w:w="6196" w:type="dxa"/>
            <w:gridSpan w:val="2"/>
            <w:tcBorders>
              <w:top w:val="nil"/>
              <w:left w:val="nil"/>
              <w:bottom w:val="single" w:sz="6" w:space="0" w:color="1F497D" w:themeColor="text2"/>
              <w:right w:val="single" w:sz="6" w:space="0" w:color="1F497D" w:themeColor="text2"/>
            </w:tcBorders>
          </w:tcPr>
          <w:p w14:paraId="0759F5BB" w14:textId="3709525E" w:rsidR="00BF00F4" w:rsidRPr="00BF00F4" w:rsidRDefault="005A1589" w:rsidP="00BF00F4">
            <w:pPr>
              <w:pStyle w:val="TableParagraph"/>
              <w:spacing w:before="40"/>
              <w:ind w:left="100" w:right="427"/>
              <w:rPr>
                <w:b/>
                <w:sz w:val="22"/>
                <w:szCs w:val="22"/>
              </w:rPr>
            </w:pPr>
            <w:r>
              <w:rPr>
                <w:b/>
                <w:sz w:val="22"/>
                <w:szCs w:val="22"/>
              </w:rPr>
              <w:t>Health and S</w:t>
            </w:r>
            <w:r w:rsidR="00BF00F4" w:rsidRPr="00BF00F4">
              <w:rPr>
                <w:b/>
                <w:sz w:val="22"/>
                <w:szCs w:val="22"/>
              </w:rPr>
              <w:t>afety (for self)</w:t>
            </w:r>
          </w:p>
          <w:p w14:paraId="2134C547" w14:textId="7F332CBB" w:rsidR="00BF00F4" w:rsidRPr="005A1589" w:rsidRDefault="00BF00F4" w:rsidP="005A1589">
            <w:pPr>
              <w:pStyle w:val="Tablebullet"/>
              <w:rPr>
                <w:rFonts w:asciiTheme="minorHAnsi" w:eastAsia="Times New Roman" w:hAnsiTheme="minorHAnsi" w:cstheme="minorHAnsi"/>
                <w:sz w:val="22"/>
                <w:szCs w:val="22"/>
              </w:rPr>
            </w:pPr>
            <w:r w:rsidRPr="005A1589">
              <w:rPr>
                <w:rFonts w:asciiTheme="minorHAnsi" w:eastAsia="Times New Roman" w:hAnsiTheme="minorHAnsi" w:cstheme="minorHAnsi"/>
                <w:sz w:val="22"/>
                <w:szCs w:val="22"/>
              </w:rPr>
              <w:t>Work safely and take responsibility for keeping self and colleagues free from harm.</w:t>
            </w:r>
          </w:p>
          <w:p w14:paraId="0080ED11" w14:textId="6948019C" w:rsidR="00BF00F4" w:rsidRPr="005A1589" w:rsidRDefault="00BF00F4" w:rsidP="005A1589">
            <w:pPr>
              <w:pStyle w:val="Tablebullet"/>
              <w:rPr>
                <w:rFonts w:asciiTheme="minorHAnsi" w:eastAsia="Times New Roman" w:hAnsiTheme="minorHAnsi" w:cstheme="minorHAnsi"/>
                <w:sz w:val="22"/>
                <w:szCs w:val="22"/>
              </w:rPr>
            </w:pPr>
            <w:r w:rsidRPr="005A1589">
              <w:rPr>
                <w:rFonts w:asciiTheme="minorHAnsi" w:eastAsia="Times New Roman" w:hAnsiTheme="minorHAnsi" w:cstheme="minorHAnsi"/>
                <w:sz w:val="22"/>
                <w:szCs w:val="22"/>
              </w:rPr>
              <w:t>Report all incidents and hazards promptly.</w:t>
            </w:r>
          </w:p>
          <w:p w14:paraId="66AFCF94" w14:textId="77777777" w:rsidR="00BF00F4" w:rsidRPr="005A1589" w:rsidRDefault="00BF00F4" w:rsidP="005A1589">
            <w:pPr>
              <w:pStyle w:val="Tablebullet"/>
              <w:rPr>
                <w:rFonts w:asciiTheme="minorHAnsi" w:eastAsia="Times New Roman" w:hAnsiTheme="minorHAnsi" w:cstheme="minorHAnsi"/>
                <w:sz w:val="22"/>
                <w:szCs w:val="22"/>
              </w:rPr>
            </w:pPr>
            <w:r w:rsidRPr="005A1589">
              <w:rPr>
                <w:rFonts w:asciiTheme="minorHAnsi" w:eastAsia="Times New Roman" w:hAnsiTheme="minorHAnsi" w:cstheme="minorHAnsi"/>
                <w:sz w:val="22"/>
                <w:szCs w:val="22"/>
              </w:rPr>
              <w:t>Know what to do in the event of an emergency.</w:t>
            </w:r>
          </w:p>
          <w:p w14:paraId="680BC6B5" w14:textId="01BB422D" w:rsidR="00BF00F4" w:rsidRPr="00BF00F4" w:rsidRDefault="00BF00F4" w:rsidP="005A1589">
            <w:pPr>
              <w:pStyle w:val="Tablebullet"/>
              <w:rPr>
                <w:sz w:val="22"/>
                <w:szCs w:val="22"/>
              </w:rPr>
            </w:pPr>
            <w:r w:rsidRPr="005A1589">
              <w:rPr>
                <w:rFonts w:asciiTheme="minorHAnsi" w:eastAsia="Times New Roman" w:hAnsiTheme="minorHAnsi" w:cstheme="minorHAnsi"/>
                <w:sz w:val="22"/>
                <w:szCs w:val="22"/>
              </w:rPr>
              <w:t>Cooperate in implementing return to work plans.</w:t>
            </w:r>
          </w:p>
        </w:tc>
        <w:tc>
          <w:tcPr>
            <w:tcW w:w="3319" w:type="dxa"/>
            <w:tcBorders>
              <w:top w:val="nil"/>
              <w:left w:val="single" w:sz="6" w:space="0" w:color="1F497D" w:themeColor="text2"/>
              <w:bottom w:val="single" w:sz="6" w:space="0" w:color="1F497D" w:themeColor="text2"/>
              <w:right w:val="nil"/>
            </w:tcBorders>
          </w:tcPr>
          <w:p w14:paraId="0F601132" w14:textId="77777777" w:rsidR="00BF00F4" w:rsidRDefault="00BF00F4" w:rsidP="005A1589">
            <w:pPr>
              <w:pStyle w:val="Tablebullet"/>
              <w:rPr>
                <w:sz w:val="22"/>
                <w:szCs w:val="22"/>
              </w:rPr>
            </w:pPr>
            <w:r w:rsidRPr="00BF00F4">
              <w:rPr>
                <w:sz w:val="22"/>
                <w:szCs w:val="22"/>
              </w:rPr>
              <w:t>A safe and healthy workplace for all people using our sites as a place of</w:t>
            </w:r>
            <w:r w:rsidRPr="005A1589">
              <w:rPr>
                <w:sz w:val="22"/>
                <w:szCs w:val="22"/>
              </w:rPr>
              <w:t xml:space="preserve"> </w:t>
            </w:r>
            <w:r w:rsidRPr="00BF00F4">
              <w:rPr>
                <w:sz w:val="22"/>
                <w:szCs w:val="22"/>
              </w:rPr>
              <w:t>work.</w:t>
            </w:r>
          </w:p>
          <w:p w14:paraId="26D30232" w14:textId="73806CB9" w:rsidR="00BF00F4" w:rsidRPr="00BF00F4" w:rsidRDefault="00BF00F4" w:rsidP="005A1589">
            <w:pPr>
              <w:pStyle w:val="Tablebullet"/>
              <w:rPr>
                <w:sz w:val="22"/>
                <w:szCs w:val="22"/>
              </w:rPr>
            </w:pPr>
            <w:r w:rsidRPr="00BF00F4">
              <w:rPr>
                <w:sz w:val="22"/>
                <w:szCs w:val="22"/>
              </w:rPr>
              <w:t>Health and safety guidelines are followed</w:t>
            </w:r>
            <w:r>
              <w:rPr>
                <w:sz w:val="22"/>
                <w:szCs w:val="22"/>
              </w:rPr>
              <w:t>.</w:t>
            </w:r>
          </w:p>
        </w:tc>
      </w:tr>
    </w:tbl>
    <w:p w14:paraId="0458A6C7" w14:textId="77777777" w:rsidR="00A771DF" w:rsidRDefault="00A771DF">
      <w:pPr>
        <w:pStyle w:val="BodyText"/>
        <w:rPr>
          <w:rFonts w:ascii="Times New Roman"/>
          <w:sz w:val="20"/>
        </w:rPr>
      </w:pPr>
    </w:p>
    <w:tbl>
      <w:tblPr>
        <w:tblStyle w:val="Blanktable"/>
        <w:tblW w:w="9752" w:type="dxa"/>
        <w:tblLayout w:type="fixed"/>
        <w:tblLook w:val="04A0" w:firstRow="1" w:lastRow="0" w:firstColumn="1" w:lastColumn="0" w:noHBand="0" w:noVBand="1"/>
      </w:tblPr>
      <w:tblGrid>
        <w:gridCol w:w="1134"/>
        <w:gridCol w:w="4708"/>
        <w:gridCol w:w="651"/>
        <w:gridCol w:w="652"/>
        <w:gridCol w:w="652"/>
        <w:gridCol w:w="651"/>
        <w:gridCol w:w="652"/>
        <w:gridCol w:w="652"/>
      </w:tblGrid>
      <w:tr w:rsidR="000D0FFF" w:rsidRPr="00267EDC" w14:paraId="507F0633" w14:textId="77777777" w:rsidTr="0018021C">
        <w:trPr>
          <w:trHeight w:val="737"/>
          <w:tblHeader/>
        </w:trPr>
        <w:tc>
          <w:tcPr>
            <w:tcW w:w="5842" w:type="dxa"/>
            <w:gridSpan w:val="2"/>
            <w:tcBorders>
              <w:bottom w:val="single" w:sz="6" w:space="0" w:color="1F497D" w:themeColor="text2"/>
            </w:tcBorders>
          </w:tcPr>
          <w:p w14:paraId="62C4DFDC" w14:textId="77777777" w:rsidR="000D0FFF" w:rsidRPr="00267EDC" w:rsidRDefault="000D0FFF" w:rsidP="0018021C"/>
        </w:tc>
        <w:tc>
          <w:tcPr>
            <w:tcW w:w="651" w:type="dxa"/>
            <w:vMerge w:val="restart"/>
            <w:tcBorders>
              <w:bottom w:val="single" w:sz="6" w:space="0" w:color="1F497D" w:themeColor="text2"/>
            </w:tcBorders>
            <w:textDirection w:val="btLr"/>
            <w:vAlign w:val="center"/>
          </w:tcPr>
          <w:p w14:paraId="35CCEACA" w14:textId="77777777" w:rsidR="000D0FFF" w:rsidRPr="00267EDC" w:rsidRDefault="000D0FFF" w:rsidP="0018021C">
            <w:pPr>
              <w:pStyle w:val="Tableverticaltext"/>
            </w:pPr>
            <w:r w:rsidRPr="00267EDC">
              <w:t>Advise</w:t>
            </w:r>
          </w:p>
        </w:tc>
        <w:tc>
          <w:tcPr>
            <w:tcW w:w="652" w:type="dxa"/>
            <w:vMerge w:val="restart"/>
            <w:tcBorders>
              <w:bottom w:val="single" w:sz="6" w:space="0" w:color="1F497D" w:themeColor="text2"/>
            </w:tcBorders>
            <w:textDirection w:val="btLr"/>
            <w:vAlign w:val="center"/>
          </w:tcPr>
          <w:p w14:paraId="1158287E" w14:textId="77777777" w:rsidR="000D0FFF" w:rsidRPr="00267EDC" w:rsidRDefault="000D0FFF" w:rsidP="0018021C">
            <w:pPr>
              <w:pStyle w:val="Tableverticaltext"/>
            </w:pPr>
            <w:r w:rsidRPr="00267EDC">
              <w:t>Collaborate with</w:t>
            </w:r>
          </w:p>
        </w:tc>
        <w:tc>
          <w:tcPr>
            <w:tcW w:w="652" w:type="dxa"/>
            <w:vMerge w:val="restart"/>
            <w:tcBorders>
              <w:bottom w:val="single" w:sz="6" w:space="0" w:color="1F497D" w:themeColor="text2"/>
            </w:tcBorders>
            <w:textDirection w:val="btLr"/>
            <w:vAlign w:val="center"/>
          </w:tcPr>
          <w:p w14:paraId="7E162CD5" w14:textId="77777777" w:rsidR="000D0FFF" w:rsidRPr="00267EDC" w:rsidRDefault="000D0FFF" w:rsidP="0018021C">
            <w:pPr>
              <w:pStyle w:val="Tableverticaltext"/>
            </w:pPr>
            <w:r w:rsidRPr="00267EDC">
              <w:t>Influence</w:t>
            </w:r>
          </w:p>
        </w:tc>
        <w:tc>
          <w:tcPr>
            <w:tcW w:w="651" w:type="dxa"/>
            <w:vMerge w:val="restart"/>
            <w:tcBorders>
              <w:bottom w:val="single" w:sz="6" w:space="0" w:color="1F497D" w:themeColor="text2"/>
            </w:tcBorders>
            <w:textDirection w:val="btLr"/>
            <w:vAlign w:val="center"/>
          </w:tcPr>
          <w:p w14:paraId="33C2D706" w14:textId="77777777" w:rsidR="000D0FFF" w:rsidRPr="00267EDC" w:rsidRDefault="000D0FFF" w:rsidP="0018021C">
            <w:pPr>
              <w:pStyle w:val="Tableverticaltext"/>
            </w:pPr>
            <w:r w:rsidRPr="00267EDC">
              <w:t>Inform</w:t>
            </w:r>
          </w:p>
        </w:tc>
        <w:tc>
          <w:tcPr>
            <w:tcW w:w="652" w:type="dxa"/>
            <w:vMerge w:val="restart"/>
            <w:tcBorders>
              <w:bottom w:val="single" w:sz="6" w:space="0" w:color="1F497D" w:themeColor="text2"/>
            </w:tcBorders>
            <w:textDirection w:val="btLr"/>
            <w:vAlign w:val="center"/>
          </w:tcPr>
          <w:p w14:paraId="54BFCD88" w14:textId="77777777" w:rsidR="000D0FFF" w:rsidRPr="00267EDC" w:rsidRDefault="000D0FFF" w:rsidP="0018021C">
            <w:pPr>
              <w:pStyle w:val="Tableverticaltext"/>
            </w:pPr>
            <w:r w:rsidRPr="00267EDC">
              <w:t>Manage/</w:t>
            </w:r>
          </w:p>
          <w:p w14:paraId="5D3CB7C4" w14:textId="77777777" w:rsidR="000D0FFF" w:rsidRPr="00267EDC" w:rsidRDefault="000D0FFF" w:rsidP="0018021C">
            <w:pPr>
              <w:pStyle w:val="Tableverticaltext"/>
            </w:pPr>
            <w:r w:rsidRPr="00267EDC">
              <w:t>lead</w:t>
            </w:r>
          </w:p>
        </w:tc>
        <w:tc>
          <w:tcPr>
            <w:tcW w:w="652" w:type="dxa"/>
            <w:vMerge w:val="restart"/>
            <w:tcBorders>
              <w:bottom w:val="single" w:sz="6" w:space="0" w:color="1F497D" w:themeColor="text2"/>
            </w:tcBorders>
            <w:textDirection w:val="btLr"/>
            <w:vAlign w:val="center"/>
          </w:tcPr>
          <w:p w14:paraId="7D62C07A" w14:textId="77777777" w:rsidR="000D0FFF" w:rsidRPr="00267EDC" w:rsidRDefault="000D0FFF" w:rsidP="0018021C">
            <w:pPr>
              <w:pStyle w:val="Tableverticaltext"/>
            </w:pPr>
            <w:r w:rsidRPr="00267EDC">
              <w:t>Deliver to</w:t>
            </w:r>
          </w:p>
        </w:tc>
      </w:tr>
      <w:tr w:rsidR="000D0FFF" w:rsidRPr="00267EDC" w14:paraId="0117347D" w14:textId="77777777" w:rsidTr="0018021C">
        <w:trPr>
          <w:trHeight w:val="323"/>
          <w:tblHeader/>
        </w:trPr>
        <w:tc>
          <w:tcPr>
            <w:tcW w:w="5842" w:type="dxa"/>
            <w:gridSpan w:val="2"/>
            <w:tcBorders>
              <w:top w:val="single" w:sz="6" w:space="0" w:color="1F497D" w:themeColor="text2"/>
              <w:bottom w:val="single" w:sz="6" w:space="0" w:color="1F497D" w:themeColor="text2"/>
              <w:right w:val="single" w:sz="6" w:space="0" w:color="1F497D" w:themeColor="text2"/>
            </w:tcBorders>
            <w:shd w:val="clear" w:color="auto" w:fill="1F497D" w:themeFill="text2"/>
          </w:tcPr>
          <w:p w14:paraId="341DB25D" w14:textId="77777777" w:rsidR="000D0FFF" w:rsidRPr="00267EDC" w:rsidRDefault="000D0FFF" w:rsidP="0018021C">
            <w:pPr>
              <w:pStyle w:val="Tableheading"/>
            </w:pPr>
            <w:r w:rsidRPr="00267EDC">
              <w:t>Who you will work with to get the job done</w:t>
            </w:r>
          </w:p>
        </w:tc>
        <w:tc>
          <w:tcPr>
            <w:tcW w:w="651" w:type="dxa"/>
            <w:vMerge/>
            <w:tcBorders>
              <w:left w:val="single" w:sz="6" w:space="0" w:color="1F497D" w:themeColor="text2"/>
              <w:bottom w:val="single" w:sz="6" w:space="0" w:color="1F497D" w:themeColor="text2"/>
            </w:tcBorders>
            <w:textDirection w:val="btLr"/>
          </w:tcPr>
          <w:p w14:paraId="72505979" w14:textId="77777777" w:rsidR="000D0FFF" w:rsidRPr="00267EDC" w:rsidRDefault="000D0FFF" w:rsidP="0018021C"/>
        </w:tc>
        <w:tc>
          <w:tcPr>
            <w:tcW w:w="652" w:type="dxa"/>
            <w:vMerge/>
            <w:tcBorders>
              <w:bottom w:val="single" w:sz="6" w:space="0" w:color="1F497D" w:themeColor="text2"/>
            </w:tcBorders>
            <w:textDirection w:val="btLr"/>
          </w:tcPr>
          <w:p w14:paraId="0F855FEF" w14:textId="77777777" w:rsidR="000D0FFF" w:rsidRPr="00267EDC" w:rsidRDefault="000D0FFF" w:rsidP="0018021C"/>
        </w:tc>
        <w:tc>
          <w:tcPr>
            <w:tcW w:w="652" w:type="dxa"/>
            <w:vMerge/>
            <w:tcBorders>
              <w:bottom w:val="single" w:sz="6" w:space="0" w:color="1F497D" w:themeColor="text2"/>
            </w:tcBorders>
            <w:textDirection w:val="btLr"/>
          </w:tcPr>
          <w:p w14:paraId="0ABE19BC" w14:textId="77777777" w:rsidR="000D0FFF" w:rsidRPr="00267EDC" w:rsidRDefault="000D0FFF" w:rsidP="0018021C"/>
        </w:tc>
        <w:tc>
          <w:tcPr>
            <w:tcW w:w="651" w:type="dxa"/>
            <w:vMerge/>
            <w:tcBorders>
              <w:bottom w:val="single" w:sz="6" w:space="0" w:color="1F497D" w:themeColor="text2"/>
            </w:tcBorders>
            <w:textDirection w:val="btLr"/>
          </w:tcPr>
          <w:p w14:paraId="39EE06D5" w14:textId="77777777" w:rsidR="000D0FFF" w:rsidRPr="00267EDC" w:rsidRDefault="000D0FFF" w:rsidP="0018021C"/>
        </w:tc>
        <w:tc>
          <w:tcPr>
            <w:tcW w:w="652" w:type="dxa"/>
            <w:vMerge/>
            <w:tcBorders>
              <w:bottom w:val="single" w:sz="6" w:space="0" w:color="1F497D" w:themeColor="text2"/>
            </w:tcBorders>
            <w:textDirection w:val="btLr"/>
          </w:tcPr>
          <w:p w14:paraId="7B88E26E" w14:textId="77777777" w:rsidR="000D0FFF" w:rsidRPr="00267EDC" w:rsidRDefault="000D0FFF" w:rsidP="0018021C"/>
        </w:tc>
        <w:tc>
          <w:tcPr>
            <w:tcW w:w="652" w:type="dxa"/>
            <w:vMerge/>
            <w:tcBorders>
              <w:top w:val="single" w:sz="6" w:space="0" w:color="1F497D" w:themeColor="text2"/>
              <w:bottom w:val="single" w:sz="6" w:space="0" w:color="1F497D" w:themeColor="text2"/>
            </w:tcBorders>
            <w:textDirection w:val="btLr"/>
          </w:tcPr>
          <w:p w14:paraId="4D6399FC" w14:textId="77777777" w:rsidR="000D0FFF" w:rsidRPr="00267EDC" w:rsidRDefault="000D0FFF" w:rsidP="0018021C"/>
        </w:tc>
      </w:tr>
      <w:tr w:rsidR="000D0FFF" w:rsidRPr="000B40EE" w14:paraId="50430468" w14:textId="77777777" w:rsidTr="0018021C">
        <w:trPr>
          <w:trHeight w:val="345"/>
        </w:trPr>
        <w:tc>
          <w:tcPr>
            <w:tcW w:w="1134" w:type="dxa"/>
            <w:vMerge w:val="restart"/>
            <w:tcBorders>
              <w:top w:val="single" w:sz="6" w:space="0" w:color="1F497D" w:themeColor="text2"/>
              <w:bottom w:val="single" w:sz="6" w:space="0" w:color="1F497D" w:themeColor="text2"/>
              <w:right w:val="single" w:sz="6" w:space="0" w:color="1F497D" w:themeColor="text2"/>
            </w:tcBorders>
            <w:vAlign w:val="center"/>
          </w:tcPr>
          <w:p w14:paraId="72454E03" w14:textId="77777777" w:rsidR="000D0FFF" w:rsidRPr="000B40EE" w:rsidRDefault="000D0FFF" w:rsidP="0018021C">
            <w:pPr>
              <w:pStyle w:val="Tablenormalcondensed"/>
              <w:rPr>
                <w:sz w:val="22"/>
                <w:szCs w:val="22"/>
              </w:rPr>
            </w:pPr>
            <w:r w:rsidRPr="000B40EE">
              <w:rPr>
                <w:sz w:val="22"/>
                <w:szCs w:val="22"/>
              </w:rPr>
              <w:t>Internal</w:t>
            </w:r>
          </w:p>
        </w:tc>
        <w:tc>
          <w:tcPr>
            <w:tcW w:w="4708"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67CEC88B" w14:textId="77777777" w:rsidR="000D0FFF" w:rsidRPr="000B40EE" w:rsidRDefault="000D0FFF" w:rsidP="0018021C">
            <w:pPr>
              <w:pStyle w:val="Tablenormalcondensed"/>
              <w:rPr>
                <w:sz w:val="22"/>
                <w:szCs w:val="22"/>
              </w:rPr>
            </w:pPr>
            <w:r w:rsidRPr="000B40EE">
              <w:rPr>
                <w:sz w:val="22"/>
                <w:szCs w:val="22"/>
              </w:rPr>
              <w:t xml:space="preserve">Manager </w:t>
            </w:r>
            <w:r>
              <w:rPr>
                <w:sz w:val="22"/>
                <w:szCs w:val="22"/>
              </w:rPr>
              <w:t>Commercial &amp; Supplier Relationships</w:t>
            </w:r>
          </w:p>
        </w:tc>
        <w:tc>
          <w:tcPr>
            <w:tcW w:w="65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02F060D4" w14:textId="77777777" w:rsidR="000D0FFF" w:rsidRPr="000B40EE" w:rsidRDefault="000D0FFF" w:rsidP="0018021C">
            <w:pPr>
              <w:pStyle w:val="Tablenormalcondensed"/>
              <w:rPr>
                <w:sz w:val="22"/>
                <w:szCs w:val="22"/>
              </w:rPr>
            </w:pPr>
            <w:r w:rsidRPr="000B40EE">
              <w:rPr>
                <w:sz w:val="22"/>
                <w:szCs w:val="22"/>
              </w:rPr>
              <w:sym w:font="Wingdings" w:char="F0FC"/>
            </w:r>
          </w:p>
        </w:tc>
        <w:tc>
          <w:tcPr>
            <w:tcW w:w="65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5ABF60CF" w14:textId="77777777" w:rsidR="000D0FFF" w:rsidRPr="000B40EE" w:rsidRDefault="000D0FFF" w:rsidP="0018021C">
            <w:pPr>
              <w:pStyle w:val="Tablenormalcondensed"/>
              <w:rPr>
                <w:sz w:val="22"/>
                <w:szCs w:val="22"/>
              </w:rPr>
            </w:pPr>
            <w:r w:rsidRPr="000B40EE">
              <w:rPr>
                <w:sz w:val="22"/>
                <w:szCs w:val="22"/>
              </w:rPr>
              <w:sym w:font="Wingdings" w:char="F0FC"/>
            </w:r>
          </w:p>
        </w:tc>
        <w:tc>
          <w:tcPr>
            <w:tcW w:w="65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7AF1BD17" w14:textId="77777777" w:rsidR="000D0FFF" w:rsidRPr="000B40EE" w:rsidRDefault="000D0FFF" w:rsidP="0018021C">
            <w:pPr>
              <w:pStyle w:val="Tablenormalcondensed"/>
              <w:rPr>
                <w:sz w:val="22"/>
                <w:szCs w:val="22"/>
              </w:rPr>
            </w:pPr>
            <w:r w:rsidRPr="000B40EE">
              <w:rPr>
                <w:sz w:val="22"/>
                <w:szCs w:val="22"/>
              </w:rPr>
              <w:sym w:font="Wingdings" w:char="F0FC"/>
            </w:r>
          </w:p>
        </w:tc>
        <w:tc>
          <w:tcPr>
            <w:tcW w:w="65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26F00EAC" w14:textId="77777777" w:rsidR="000D0FFF" w:rsidRPr="000B40EE" w:rsidRDefault="000D0FFF" w:rsidP="0018021C">
            <w:pPr>
              <w:pStyle w:val="Tablenormalcondensed"/>
              <w:rPr>
                <w:sz w:val="22"/>
                <w:szCs w:val="22"/>
              </w:rPr>
            </w:pPr>
            <w:r w:rsidRPr="000B40EE">
              <w:rPr>
                <w:sz w:val="22"/>
                <w:szCs w:val="22"/>
              </w:rPr>
              <w:sym w:font="Wingdings" w:char="F0FC"/>
            </w:r>
          </w:p>
        </w:tc>
        <w:tc>
          <w:tcPr>
            <w:tcW w:w="65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626FA4F0" w14:textId="77777777" w:rsidR="000D0FFF" w:rsidRPr="000B40EE" w:rsidRDefault="000D0FFF" w:rsidP="0018021C">
            <w:pPr>
              <w:pStyle w:val="Tablenormalcondensed"/>
              <w:rPr>
                <w:sz w:val="22"/>
                <w:szCs w:val="22"/>
              </w:rPr>
            </w:pPr>
          </w:p>
        </w:tc>
        <w:tc>
          <w:tcPr>
            <w:tcW w:w="652" w:type="dxa"/>
            <w:tcBorders>
              <w:top w:val="single" w:sz="6" w:space="0" w:color="1F497D" w:themeColor="text2"/>
              <w:left w:val="single" w:sz="6" w:space="0" w:color="1F497D" w:themeColor="text2"/>
              <w:bottom w:val="single" w:sz="6" w:space="0" w:color="1F497D" w:themeColor="text2"/>
            </w:tcBorders>
            <w:shd w:val="clear" w:color="auto" w:fill="auto"/>
            <w:vAlign w:val="center"/>
          </w:tcPr>
          <w:p w14:paraId="70177DD3" w14:textId="77777777" w:rsidR="000D0FFF" w:rsidRPr="000B40EE" w:rsidRDefault="000D0FFF" w:rsidP="0018021C">
            <w:pPr>
              <w:pStyle w:val="Tablenormalcondensed"/>
              <w:rPr>
                <w:sz w:val="22"/>
                <w:szCs w:val="22"/>
              </w:rPr>
            </w:pPr>
            <w:r w:rsidRPr="000B40EE">
              <w:rPr>
                <w:sz w:val="22"/>
                <w:szCs w:val="22"/>
              </w:rPr>
              <w:sym w:font="Wingdings" w:char="F0FC"/>
            </w:r>
          </w:p>
        </w:tc>
      </w:tr>
      <w:tr w:rsidR="000D0FFF" w:rsidRPr="000B40EE" w14:paraId="500A5A8A" w14:textId="77777777" w:rsidTr="0018021C">
        <w:trPr>
          <w:trHeight w:val="345"/>
        </w:trPr>
        <w:tc>
          <w:tcPr>
            <w:tcW w:w="1134" w:type="dxa"/>
            <w:vMerge/>
            <w:tcBorders>
              <w:top w:val="single" w:sz="6" w:space="0" w:color="1F497D" w:themeColor="text2"/>
              <w:bottom w:val="single" w:sz="6" w:space="0" w:color="1F497D" w:themeColor="text2"/>
              <w:right w:val="single" w:sz="6" w:space="0" w:color="1F497D" w:themeColor="text2"/>
            </w:tcBorders>
            <w:vAlign w:val="center"/>
          </w:tcPr>
          <w:p w14:paraId="360CF441" w14:textId="77777777" w:rsidR="000D0FFF" w:rsidRPr="000B40EE" w:rsidRDefault="000D0FFF" w:rsidP="0018021C">
            <w:pPr>
              <w:pStyle w:val="Tablenormalcondensed"/>
              <w:rPr>
                <w:sz w:val="22"/>
                <w:szCs w:val="22"/>
              </w:rPr>
            </w:pPr>
          </w:p>
        </w:tc>
        <w:tc>
          <w:tcPr>
            <w:tcW w:w="4708"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2A033FBA" w14:textId="08375B91" w:rsidR="000D0FFF" w:rsidRPr="000D0FFF" w:rsidRDefault="000D0FFF" w:rsidP="0018021C">
            <w:pPr>
              <w:pStyle w:val="Tablenormalcondensed"/>
              <w:rPr>
                <w:sz w:val="22"/>
                <w:szCs w:val="22"/>
              </w:rPr>
            </w:pPr>
            <w:r w:rsidRPr="000D0FFF">
              <w:rPr>
                <w:sz w:val="22"/>
                <w:szCs w:val="22"/>
              </w:rPr>
              <w:t>Supplier Portfolio &amp; Contracts Managers and Category Managers</w:t>
            </w:r>
          </w:p>
        </w:tc>
        <w:tc>
          <w:tcPr>
            <w:tcW w:w="65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59B07B71" w14:textId="77777777" w:rsidR="000D0FFF" w:rsidRPr="000B40EE" w:rsidRDefault="000D0FFF" w:rsidP="0018021C">
            <w:pPr>
              <w:pStyle w:val="Tablenormalcondensed"/>
              <w:rPr>
                <w:sz w:val="22"/>
                <w:szCs w:val="22"/>
              </w:rPr>
            </w:pPr>
            <w:r w:rsidRPr="000B40EE">
              <w:rPr>
                <w:sz w:val="22"/>
                <w:szCs w:val="22"/>
              </w:rPr>
              <w:sym w:font="Wingdings" w:char="F0FC"/>
            </w:r>
          </w:p>
        </w:tc>
        <w:tc>
          <w:tcPr>
            <w:tcW w:w="65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627C72B8" w14:textId="77777777" w:rsidR="000D0FFF" w:rsidRPr="000B40EE" w:rsidRDefault="000D0FFF" w:rsidP="0018021C">
            <w:pPr>
              <w:pStyle w:val="Tablenormalcondensed"/>
              <w:rPr>
                <w:sz w:val="22"/>
                <w:szCs w:val="22"/>
              </w:rPr>
            </w:pPr>
            <w:r w:rsidRPr="000B40EE">
              <w:rPr>
                <w:sz w:val="22"/>
                <w:szCs w:val="22"/>
              </w:rPr>
              <w:sym w:font="Wingdings" w:char="F0FC"/>
            </w:r>
          </w:p>
        </w:tc>
        <w:tc>
          <w:tcPr>
            <w:tcW w:w="65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5B49E06C" w14:textId="77777777" w:rsidR="000D0FFF" w:rsidRPr="000B40EE" w:rsidRDefault="000D0FFF" w:rsidP="0018021C">
            <w:pPr>
              <w:pStyle w:val="Tablenormalcondensed"/>
              <w:rPr>
                <w:sz w:val="22"/>
                <w:szCs w:val="22"/>
              </w:rPr>
            </w:pPr>
          </w:p>
        </w:tc>
        <w:tc>
          <w:tcPr>
            <w:tcW w:w="65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3C33786F" w14:textId="77777777" w:rsidR="000D0FFF" w:rsidRPr="000B40EE" w:rsidRDefault="000D0FFF" w:rsidP="0018021C">
            <w:pPr>
              <w:pStyle w:val="Tablenormalcondensed"/>
              <w:rPr>
                <w:sz w:val="22"/>
                <w:szCs w:val="22"/>
              </w:rPr>
            </w:pPr>
            <w:r w:rsidRPr="000B40EE">
              <w:rPr>
                <w:sz w:val="22"/>
                <w:szCs w:val="22"/>
              </w:rPr>
              <w:sym w:font="Wingdings" w:char="F0FC"/>
            </w:r>
          </w:p>
        </w:tc>
        <w:tc>
          <w:tcPr>
            <w:tcW w:w="65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1DA01511" w14:textId="77777777" w:rsidR="000D0FFF" w:rsidRPr="000B40EE" w:rsidRDefault="000D0FFF" w:rsidP="0018021C">
            <w:pPr>
              <w:pStyle w:val="Tablenormalcondensed"/>
              <w:rPr>
                <w:sz w:val="22"/>
                <w:szCs w:val="22"/>
              </w:rPr>
            </w:pPr>
          </w:p>
        </w:tc>
        <w:tc>
          <w:tcPr>
            <w:tcW w:w="652" w:type="dxa"/>
            <w:tcBorders>
              <w:top w:val="single" w:sz="6" w:space="0" w:color="1F497D" w:themeColor="text2"/>
              <w:left w:val="single" w:sz="6" w:space="0" w:color="1F497D" w:themeColor="text2"/>
              <w:bottom w:val="single" w:sz="6" w:space="0" w:color="1F497D" w:themeColor="text2"/>
            </w:tcBorders>
            <w:shd w:val="clear" w:color="auto" w:fill="auto"/>
            <w:vAlign w:val="center"/>
          </w:tcPr>
          <w:p w14:paraId="2154DF61" w14:textId="77777777" w:rsidR="000D0FFF" w:rsidRPr="000B40EE" w:rsidRDefault="000D0FFF" w:rsidP="0018021C">
            <w:pPr>
              <w:pStyle w:val="Tablenormalcondensed"/>
              <w:rPr>
                <w:sz w:val="22"/>
                <w:szCs w:val="22"/>
              </w:rPr>
            </w:pPr>
          </w:p>
        </w:tc>
      </w:tr>
      <w:tr w:rsidR="000D0FFF" w:rsidRPr="000B40EE" w14:paraId="21E989DB" w14:textId="77777777" w:rsidTr="0018021C">
        <w:trPr>
          <w:trHeight w:val="345"/>
        </w:trPr>
        <w:tc>
          <w:tcPr>
            <w:tcW w:w="1134" w:type="dxa"/>
            <w:vMerge/>
            <w:tcBorders>
              <w:top w:val="single" w:sz="6" w:space="0" w:color="1F497D" w:themeColor="text2"/>
              <w:bottom w:val="single" w:sz="6" w:space="0" w:color="1F497D" w:themeColor="text2"/>
              <w:right w:val="single" w:sz="6" w:space="0" w:color="1F497D" w:themeColor="text2"/>
            </w:tcBorders>
            <w:vAlign w:val="center"/>
          </w:tcPr>
          <w:p w14:paraId="33DED992" w14:textId="77777777" w:rsidR="000D0FFF" w:rsidRPr="000B40EE" w:rsidRDefault="000D0FFF" w:rsidP="0018021C">
            <w:pPr>
              <w:pStyle w:val="Tablenormalcondensed"/>
              <w:rPr>
                <w:sz w:val="22"/>
                <w:szCs w:val="22"/>
              </w:rPr>
            </w:pPr>
          </w:p>
        </w:tc>
        <w:tc>
          <w:tcPr>
            <w:tcW w:w="4708"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074D749C" w14:textId="08361705" w:rsidR="000D0FFF" w:rsidRDefault="000D0FFF" w:rsidP="0018021C">
            <w:pPr>
              <w:pStyle w:val="Tablenormalcondensed"/>
              <w:rPr>
                <w:sz w:val="22"/>
                <w:szCs w:val="22"/>
              </w:rPr>
            </w:pPr>
            <w:r>
              <w:rPr>
                <w:sz w:val="22"/>
                <w:szCs w:val="22"/>
              </w:rPr>
              <w:t>AOG SD Managers and teams</w:t>
            </w:r>
          </w:p>
        </w:tc>
        <w:tc>
          <w:tcPr>
            <w:tcW w:w="65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417F2B7C" w14:textId="6EF940A7" w:rsidR="000D0FFF" w:rsidRPr="000B40EE" w:rsidRDefault="000D0FFF" w:rsidP="0018021C">
            <w:pPr>
              <w:pStyle w:val="Tablenormalcondensed"/>
              <w:rPr>
                <w:sz w:val="22"/>
                <w:szCs w:val="22"/>
              </w:rPr>
            </w:pPr>
            <w:r>
              <w:rPr>
                <w:rFonts w:ascii="Wingdings" w:hAnsi="Wingdings"/>
              </w:rPr>
              <w:t></w:t>
            </w:r>
          </w:p>
        </w:tc>
        <w:tc>
          <w:tcPr>
            <w:tcW w:w="65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46B41155" w14:textId="6B32455F" w:rsidR="000D0FFF" w:rsidRPr="000B40EE" w:rsidRDefault="000D0FFF" w:rsidP="0018021C">
            <w:pPr>
              <w:pStyle w:val="Tablenormalcondensed"/>
              <w:rPr>
                <w:sz w:val="22"/>
                <w:szCs w:val="22"/>
              </w:rPr>
            </w:pPr>
            <w:r>
              <w:rPr>
                <w:rFonts w:ascii="Wingdings" w:hAnsi="Wingdings"/>
              </w:rPr>
              <w:t></w:t>
            </w:r>
          </w:p>
        </w:tc>
        <w:tc>
          <w:tcPr>
            <w:tcW w:w="65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0509C931" w14:textId="77777777" w:rsidR="000D0FFF" w:rsidRPr="000B40EE" w:rsidRDefault="000D0FFF" w:rsidP="0018021C">
            <w:pPr>
              <w:pStyle w:val="Tablenormalcondensed"/>
              <w:rPr>
                <w:sz w:val="22"/>
                <w:szCs w:val="22"/>
              </w:rPr>
            </w:pPr>
          </w:p>
        </w:tc>
        <w:tc>
          <w:tcPr>
            <w:tcW w:w="65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63781213" w14:textId="029C2D59" w:rsidR="000D0FFF" w:rsidRPr="000B40EE" w:rsidRDefault="000D0FFF" w:rsidP="0018021C">
            <w:pPr>
              <w:pStyle w:val="Tablenormalcondensed"/>
              <w:rPr>
                <w:sz w:val="22"/>
                <w:szCs w:val="22"/>
              </w:rPr>
            </w:pPr>
            <w:r>
              <w:rPr>
                <w:rFonts w:ascii="Wingdings" w:hAnsi="Wingdings"/>
              </w:rPr>
              <w:t></w:t>
            </w:r>
          </w:p>
        </w:tc>
        <w:tc>
          <w:tcPr>
            <w:tcW w:w="65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105A425D" w14:textId="77777777" w:rsidR="000D0FFF" w:rsidRPr="000B40EE" w:rsidRDefault="000D0FFF" w:rsidP="0018021C">
            <w:pPr>
              <w:pStyle w:val="Tablenormalcondensed"/>
              <w:rPr>
                <w:sz w:val="22"/>
                <w:szCs w:val="22"/>
              </w:rPr>
            </w:pPr>
          </w:p>
        </w:tc>
        <w:tc>
          <w:tcPr>
            <w:tcW w:w="652" w:type="dxa"/>
            <w:tcBorders>
              <w:top w:val="single" w:sz="6" w:space="0" w:color="1F497D" w:themeColor="text2"/>
              <w:left w:val="single" w:sz="6" w:space="0" w:color="1F497D" w:themeColor="text2"/>
              <w:bottom w:val="single" w:sz="6" w:space="0" w:color="1F497D" w:themeColor="text2"/>
            </w:tcBorders>
            <w:shd w:val="clear" w:color="auto" w:fill="auto"/>
            <w:vAlign w:val="center"/>
          </w:tcPr>
          <w:p w14:paraId="71B0ACFE" w14:textId="3C846F19" w:rsidR="000D0FFF" w:rsidRPr="000B40EE" w:rsidRDefault="000D0FFF" w:rsidP="0018021C">
            <w:pPr>
              <w:pStyle w:val="Tablenormalcondensed"/>
              <w:rPr>
                <w:sz w:val="22"/>
                <w:szCs w:val="22"/>
              </w:rPr>
            </w:pPr>
            <w:r>
              <w:rPr>
                <w:rFonts w:ascii="Wingdings" w:hAnsi="Wingdings"/>
              </w:rPr>
              <w:t></w:t>
            </w:r>
          </w:p>
        </w:tc>
      </w:tr>
      <w:tr w:rsidR="000D0FFF" w:rsidRPr="000B40EE" w14:paraId="46E38386" w14:textId="77777777" w:rsidTr="0018021C">
        <w:trPr>
          <w:trHeight w:val="345"/>
        </w:trPr>
        <w:tc>
          <w:tcPr>
            <w:tcW w:w="1134" w:type="dxa"/>
            <w:vMerge/>
            <w:tcBorders>
              <w:top w:val="single" w:sz="6" w:space="0" w:color="1F497D" w:themeColor="text2"/>
              <w:bottom w:val="single" w:sz="6" w:space="0" w:color="1F497D" w:themeColor="text2"/>
              <w:right w:val="single" w:sz="6" w:space="0" w:color="1F497D" w:themeColor="text2"/>
            </w:tcBorders>
            <w:vAlign w:val="center"/>
          </w:tcPr>
          <w:p w14:paraId="384032DB" w14:textId="77777777" w:rsidR="000D0FFF" w:rsidRPr="000B40EE" w:rsidRDefault="000D0FFF" w:rsidP="0018021C">
            <w:pPr>
              <w:pStyle w:val="Tablenormalcondensed"/>
              <w:rPr>
                <w:sz w:val="22"/>
                <w:szCs w:val="22"/>
              </w:rPr>
            </w:pPr>
          </w:p>
        </w:tc>
        <w:tc>
          <w:tcPr>
            <w:tcW w:w="4708"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11EBC36B" w14:textId="02533C13" w:rsidR="000D0FFF" w:rsidRDefault="000D0FFF" w:rsidP="0018021C">
            <w:pPr>
              <w:pStyle w:val="Tablenormalcondensed"/>
              <w:rPr>
                <w:sz w:val="22"/>
                <w:szCs w:val="22"/>
              </w:rPr>
            </w:pPr>
            <w:r>
              <w:rPr>
                <w:sz w:val="22"/>
                <w:szCs w:val="22"/>
              </w:rPr>
              <w:t>ICT Capability &amp; Change team</w:t>
            </w:r>
            <w:r w:rsidR="00BF00F4">
              <w:rPr>
                <w:sz w:val="22"/>
                <w:szCs w:val="22"/>
              </w:rPr>
              <w:t xml:space="preserve"> members</w:t>
            </w:r>
          </w:p>
        </w:tc>
        <w:tc>
          <w:tcPr>
            <w:tcW w:w="65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1CB49AC4" w14:textId="77777777" w:rsidR="000D0FFF" w:rsidRPr="000B40EE" w:rsidRDefault="000D0FFF" w:rsidP="0018021C">
            <w:pPr>
              <w:pStyle w:val="Tablenormalcondensed"/>
              <w:rPr>
                <w:sz w:val="22"/>
                <w:szCs w:val="22"/>
              </w:rPr>
            </w:pPr>
            <w:r w:rsidRPr="000B40EE">
              <w:rPr>
                <w:sz w:val="22"/>
                <w:szCs w:val="22"/>
              </w:rPr>
              <w:sym w:font="Wingdings" w:char="F0FC"/>
            </w:r>
          </w:p>
        </w:tc>
        <w:tc>
          <w:tcPr>
            <w:tcW w:w="65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57A22233" w14:textId="77777777" w:rsidR="000D0FFF" w:rsidRPr="000B40EE" w:rsidRDefault="000D0FFF" w:rsidP="0018021C">
            <w:pPr>
              <w:pStyle w:val="Tablenormalcondensed"/>
              <w:rPr>
                <w:sz w:val="22"/>
                <w:szCs w:val="22"/>
              </w:rPr>
            </w:pPr>
            <w:r w:rsidRPr="000B40EE">
              <w:rPr>
                <w:sz w:val="22"/>
                <w:szCs w:val="22"/>
              </w:rPr>
              <w:sym w:font="Wingdings" w:char="F0FC"/>
            </w:r>
          </w:p>
        </w:tc>
        <w:tc>
          <w:tcPr>
            <w:tcW w:w="65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0206E5EF" w14:textId="77777777" w:rsidR="000D0FFF" w:rsidRPr="000B40EE" w:rsidRDefault="000D0FFF" w:rsidP="0018021C">
            <w:pPr>
              <w:pStyle w:val="Tablenormalcondensed"/>
              <w:rPr>
                <w:sz w:val="22"/>
                <w:szCs w:val="22"/>
              </w:rPr>
            </w:pPr>
          </w:p>
        </w:tc>
        <w:tc>
          <w:tcPr>
            <w:tcW w:w="65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5DAFA869" w14:textId="77777777" w:rsidR="000D0FFF" w:rsidRPr="000B40EE" w:rsidRDefault="000D0FFF" w:rsidP="0018021C">
            <w:pPr>
              <w:pStyle w:val="Tablenormalcondensed"/>
              <w:rPr>
                <w:sz w:val="22"/>
                <w:szCs w:val="22"/>
              </w:rPr>
            </w:pPr>
            <w:r w:rsidRPr="000B40EE">
              <w:rPr>
                <w:sz w:val="22"/>
                <w:szCs w:val="22"/>
              </w:rPr>
              <w:sym w:font="Wingdings" w:char="F0FC"/>
            </w:r>
          </w:p>
        </w:tc>
        <w:tc>
          <w:tcPr>
            <w:tcW w:w="65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36DCB2E4" w14:textId="77777777" w:rsidR="000D0FFF" w:rsidRPr="000B40EE" w:rsidRDefault="000D0FFF" w:rsidP="0018021C">
            <w:pPr>
              <w:pStyle w:val="Tablenormalcondensed"/>
              <w:rPr>
                <w:sz w:val="22"/>
                <w:szCs w:val="22"/>
              </w:rPr>
            </w:pPr>
          </w:p>
        </w:tc>
        <w:tc>
          <w:tcPr>
            <w:tcW w:w="652" w:type="dxa"/>
            <w:tcBorders>
              <w:top w:val="single" w:sz="6" w:space="0" w:color="1F497D" w:themeColor="text2"/>
              <w:left w:val="single" w:sz="6" w:space="0" w:color="1F497D" w:themeColor="text2"/>
              <w:bottom w:val="single" w:sz="6" w:space="0" w:color="1F497D" w:themeColor="text2"/>
            </w:tcBorders>
            <w:shd w:val="clear" w:color="auto" w:fill="auto"/>
            <w:vAlign w:val="center"/>
          </w:tcPr>
          <w:p w14:paraId="4BC7B124" w14:textId="292160F1" w:rsidR="000D0FFF" w:rsidRPr="000B40EE" w:rsidRDefault="000D0FFF" w:rsidP="0018021C">
            <w:pPr>
              <w:pStyle w:val="Tablenormalcondensed"/>
              <w:rPr>
                <w:sz w:val="22"/>
                <w:szCs w:val="22"/>
              </w:rPr>
            </w:pPr>
            <w:r>
              <w:rPr>
                <w:rFonts w:ascii="Wingdings" w:hAnsi="Wingdings"/>
              </w:rPr>
              <w:t></w:t>
            </w:r>
          </w:p>
        </w:tc>
      </w:tr>
      <w:tr w:rsidR="000D0FFF" w:rsidRPr="000B40EE" w14:paraId="7C7CB92C" w14:textId="77777777" w:rsidTr="0018021C">
        <w:trPr>
          <w:trHeight w:val="345"/>
        </w:trPr>
        <w:tc>
          <w:tcPr>
            <w:tcW w:w="1134" w:type="dxa"/>
            <w:vMerge/>
            <w:tcBorders>
              <w:top w:val="single" w:sz="6" w:space="0" w:color="1F497D" w:themeColor="text2"/>
              <w:bottom w:val="single" w:sz="6" w:space="0" w:color="1F497D" w:themeColor="text2"/>
              <w:right w:val="single" w:sz="6" w:space="0" w:color="1F497D" w:themeColor="text2"/>
            </w:tcBorders>
            <w:vAlign w:val="center"/>
          </w:tcPr>
          <w:p w14:paraId="21399688" w14:textId="77777777" w:rsidR="000D0FFF" w:rsidRPr="000B40EE" w:rsidRDefault="000D0FFF" w:rsidP="0018021C">
            <w:pPr>
              <w:pStyle w:val="Tablenormalcondensed"/>
              <w:rPr>
                <w:sz w:val="22"/>
                <w:szCs w:val="22"/>
              </w:rPr>
            </w:pPr>
          </w:p>
        </w:tc>
        <w:tc>
          <w:tcPr>
            <w:tcW w:w="4708"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395093A2" w14:textId="79A5FC6A" w:rsidR="000D0FFF" w:rsidRPr="000B40EE" w:rsidRDefault="000D0FFF" w:rsidP="0018021C">
            <w:pPr>
              <w:pStyle w:val="Tablenormalcondensed"/>
              <w:rPr>
                <w:sz w:val="22"/>
                <w:szCs w:val="22"/>
              </w:rPr>
            </w:pPr>
            <w:r>
              <w:rPr>
                <w:sz w:val="22"/>
                <w:szCs w:val="22"/>
              </w:rPr>
              <w:t>Procurement Manager</w:t>
            </w:r>
          </w:p>
        </w:tc>
        <w:tc>
          <w:tcPr>
            <w:tcW w:w="65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633C787A" w14:textId="77777777" w:rsidR="000D0FFF" w:rsidRPr="000B40EE" w:rsidRDefault="000D0FFF" w:rsidP="0018021C">
            <w:pPr>
              <w:pStyle w:val="Tablenormalcondensed"/>
              <w:rPr>
                <w:sz w:val="22"/>
                <w:szCs w:val="22"/>
              </w:rPr>
            </w:pPr>
            <w:r w:rsidRPr="000B40EE">
              <w:rPr>
                <w:sz w:val="22"/>
                <w:szCs w:val="22"/>
              </w:rPr>
              <w:sym w:font="Wingdings" w:char="F0FC"/>
            </w:r>
          </w:p>
        </w:tc>
        <w:tc>
          <w:tcPr>
            <w:tcW w:w="65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21E6DD3A" w14:textId="77777777" w:rsidR="000D0FFF" w:rsidRPr="000B40EE" w:rsidRDefault="000D0FFF" w:rsidP="0018021C">
            <w:pPr>
              <w:pStyle w:val="Tablenormalcondensed"/>
              <w:rPr>
                <w:sz w:val="22"/>
                <w:szCs w:val="22"/>
              </w:rPr>
            </w:pPr>
            <w:r w:rsidRPr="000B40EE">
              <w:rPr>
                <w:sz w:val="22"/>
                <w:szCs w:val="22"/>
              </w:rPr>
              <w:sym w:font="Wingdings" w:char="F0FC"/>
            </w:r>
          </w:p>
        </w:tc>
        <w:tc>
          <w:tcPr>
            <w:tcW w:w="65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30C1CC0B" w14:textId="6FD16172" w:rsidR="000D0FFF" w:rsidRPr="000B40EE" w:rsidRDefault="000D0FFF" w:rsidP="0018021C">
            <w:pPr>
              <w:pStyle w:val="Tablenormalcondensed"/>
              <w:rPr>
                <w:sz w:val="22"/>
                <w:szCs w:val="22"/>
              </w:rPr>
            </w:pPr>
            <w:r>
              <w:rPr>
                <w:rFonts w:ascii="Wingdings" w:hAnsi="Wingdings"/>
              </w:rPr>
              <w:t></w:t>
            </w:r>
          </w:p>
        </w:tc>
        <w:tc>
          <w:tcPr>
            <w:tcW w:w="65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15BD90E6" w14:textId="77777777" w:rsidR="000D0FFF" w:rsidRPr="000B40EE" w:rsidRDefault="000D0FFF" w:rsidP="0018021C">
            <w:pPr>
              <w:pStyle w:val="Tablenormalcondensed"/>
              <w:rPr>
                <w:sz w:val="22"/>
                <w:szCs w:val="22"/>
              </w:rPr>
            </w:pPr>
            <w:r w:rsidRPr="000B40EE">
              <w:rPr>
                <w:sz w:val="22"/>
                <w:szCs w:val="22"/>
              </w:rPr>
              <w:sym w:font="Wingdings" w:char="F0FC"/>
            </w:r>
          </w:p>
        </w:tc>
        <w:tc>
          <w:tcPr>
            <w:tcW w:w="65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246C854C" w14:textId="77777777" w:rsidR="000D0FFF" w:rsidRPr="000B40EE" w:rsidRDefault="000D0FFF" w:rsidP="0018021C">
            <w:pPr>
              <w:pStyle w:val="Tablenormalcondensed"/>
              <w:rPr>
                <w:sz w:val="22"/>
                <w:szCs w:val="22"/>
              </w:rPr>
            </w:pPr>
          </w:p>
        </w:tc>
        <w:tc>
          <w:tcPr>
            <w:tcW w:w="652" w:type="dxa"/>
            <w:tcBorders>
              <w:top w:val="single" w:sz="6" w:space="0" w:color="1F497D" w:themeColor="text2"/>
              <w:left w:val="single" w:sz="6" w:space="0" w:color="1F497D" w:themeColor="text2"/>
              <w:bottom w:val="single" w:sz="6" w:space="0" w:color="1F497D" w:themeColor="text2"/>
            </w:tcBorders>
            <w:shd w:val="clear" w:color="auto" w:fill="auto"/>
            <w:vAlign w:val="center"/>
          </w:tcPr>
          <w:p w14:paraId="724281DC" w14:textId="4E9444D4" w:rsidR="000D0FFF" w:rsidRPr="000B40EE" w:rsidRDefault="000D0FFF" w:rsidP="0018021C">
            <w:pPr>
              <w:pStyle w:val="Tablenormalcondensed"/>
              <w:rPr>
                <w:sz w:val="22"/>
                <w:szCs w:val="22"/>
              </w:rPr>
            </w:pPr>
            <w:r>
              <w:rPr>
                <w:rFonts w:ascii="Wingdings" w:hAnsi="Wingdings"/>
              </w:rPr>
              <w:t></w:t>
            </w:r>
          </w:p>
        </w:tc>
      </w:tr>
      <w:tr w:rsidR="000D0FFF" w:rsidRPr="000B40EE" w14:paraId="6A566EF1" w14:textId="77777777" w:rsidTr="0018021C">
        <w:trPr>
          <w:trHeight w:val="345"/>
        </w:trPr>
        <w:tc>
          <w:tcPr>
            <w:tcW w:w="1134" w:type="dxa"/>
            <w:vMerge/>
            <w:tcBorders>
              <w:top w:val="single" w:sz="6" w:space="0" w:color="1F497D" w:themeColor="text2"/>
              <w:bottom w:val="single" w:sz="6" w:space="0" w:color="1F497D" w:themeColor="text2"/>
              <w:right w:val="single" w:sz="6" w:space="0" w:color="1F497D" w:themeColor="text2"/>
            </w:tcBorders>
            <w:vAlign w:val="center"/>
          </w:tcPr>
          <w:p w14:paraId="57D8CEAF" w14:textId="77777777" w:rsidR="000D0FFF" w:rsidRPr="000B40EE" w:rsidRDefault="000D0FFF" w:rsidP="0018021C">
            <w:pPr>
              <w:pStyle w:val="Tablenormalcondensed"/>
              <w:rPr>
                <w:sz w:val="22"/>
                <w:szCs w:val="22"/>
              </w:rPr>
            </w:pPr>
          </w:p>
        </w:tc>
        <w:tc>
          <w:tcPr>
            <w:tcW w:w="4708"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337DF999" w14:textId="77777777" w:rsidR="000D0FFF" w:rsidRPr="000B40EE" w:rsidRDefault="000D0FFF" w:rsidP="0018021C">
            <w:pPr>
              <w:pStyle w:val="Tablenormalcondensed"/>
              <w:rPr>
                <w:sz w:val="22"/>
                <w:szCs w:val="22"/>
              </w:rPr>
            </w:pPr>
            <w:r>
              <w:rPr>
                <w:sz w:val="22"/>
                <w:szCs w:val="22"/>
              </w:rPr>
              <w:t>Portfolio Management team</w:t>
            </w:r>
          </w:p>
        </w:tc>
        <w:tc>
          <w:tcPr>
            <w:tcW w:w="65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02DD3D40" w14:textId="77777777" w:rsidR="000D0FFF" w:rsidRPr="000B40EE" w:rsidRDefault="000D0FFF" w:rsidP="0018021C">
            <w:pPr>
              <w:pStyle w:val="Tablenormalcondensed"/>
              <w:rPr>
                <w:sz w:val="22"/>
                <w:szCs w:val="22"/>
              </w:rPr>
            </w:pPr>
            <w:r w:rsidRPr="000B40EE">
              <w:rPr>
                <w:sz w:val="22"/>
                <w:szCs w:val="22"/>
              </w:rPr>
              <w:sym w:font="Wingdings" w:char="F0FC"/>
            </w:r>
          </w:p>
        </w:tc>
        <w:tc>
          <w:tcPr>
            <w:tcW w:w="65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7C836B7B" w14:textId="77777777" w:rsidR="000D0FFF" w:rsidRPr="000B40EE" w:rsidRDefault="000D0FFF" w:rsidP="0018021C">
            <w:pPr>
              <w:pStyle w:val="Tablenormalcondensed"/>
              <w:rPr>
                <w:sz w:val="22"/>
                <w:szCs w:val="22"/>
              </w:rPr>
            </w:pPr>
            <w:r w:rsidRPr="000B40EE">
              <w:rPr>
                <w:sz w:val="22"/>
                <w:szCs w:val="22"/>
              </w:rPr>
              <w:sym w:font="Wingdings" w:char="F0FC"/>
            </w:r>
          </w:p>
        </w:tc>
        <w:tc>
          <w:tcPr>
            <w:tcW w:w="65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58BF4678" w14:textId="77777777" w:rsidR="000D0FFF" w:rsidRPr="000B40EE" w:rsidRDefault="000D0FFF" w:rsidP="0018021C">
            <w:pPr>
              <w:pStyle w:val="Tablenormalcondensed"/>
              <w:rPr>
                <w:sz w:val="22"/>
                <w:szCs w:val="22"/>
              </w:rPr>
            </w:pPr>
            <w:r w:rsidRPr="000B40EE">
              <w:rPr>
                <w:sz w:val="22"/>
                <w:szCs w:val="22"/>
              </w:rPr>
              <w:sym w:font="Wingdings" w:char="F0FC"/>
            </w:r>
          </w:p>
        </w:tc>
        <w:tc>
          <w:tcPr>
            <w:tcW w:w="65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3CFF5305" w14:textId="77777777" w:rsidR="000D0FFF" w:rsidRPr="000B40EE" w:rsidRDefault="000D0FFF" w:rsidP="0018021C">
            <w:pPr>
              <w:pStyle w:val="Tablenormalcondensed"/>
              <w:rPr>
                <w:sz w:val="22"/>
                <w:szCs w:val="22"/>
              </w:rPr>
            </w:pPr>
            <w:r w:rsidRPr="000B40EE">
              <w:rPr>
                <w:sz w:val="22"/>
                <w:szCs w:val="22"/>
              </w:rPr>
              <w:sym w:font="Wingdings" w:char="F0FC"/>
            </w:r>
          </w:p>
        </w:tc>
        <w:tc>
          <w:tcPr>
            <w:tcW w:w="65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2A20B019" w14:textId="77777777" w:rsidR="000D0FFF" w:rsidRPr="000B40EE" w:rsidRDefault="000D0FFF" w:rsidP="0018021C">
            <w:pPr>
              <w:pStyle w:val="Tablenormalcondensed"/>
              <w:rPr>
                <w:sz w:val="22"/>
                <w:szCs w:val="22"/>
              </w:rPr>
            </w:pPr>
          </w:p>
        </w:tc>
        <w:tc>
          <w:tcPr>
            <w:tcW w:w="652" w:type="dxa"/>
            <w:tcBorders>
              <w:top w:val="single" w:sz="6" w:space="0" w:color="1F497D" w:themeColor="text2"/>
              <w:left w:val="single" w:sz="6" w:space="0" w:color="1F497D" w:themeColor="text2"/>
              <w:bottom w:val="single" w:sz="6" w:space="0" w:color="1F497D" w:themeColor="text2"/>
            </w:tcBorders>
            <w:shd w:val="clear" w:color="auto" w:fill="auto"/>
            <w:vAlign w:val="center"/>
          </w:tcPr>
          <w:p w14:paraId="43107B49" w14:textId="77777777" w:rsidR="000D0FFF" w:rsidRPr="000B40EE" w:rsidRDefault="000D0FFF" w:rsidP="0018021C">
            <w:pPr>
              <w:pStyle w:val="Tablenormalcondensed"/>
              <w:rPr>
                <w:sz w:val="22"/>
                <w:szCs w:val="22"/>
              </w:rPr>
            </w:pPr>
          </w:p>
        </w:tc>
      </w:tr>
      <w:tr w:rsidR="000D0FFF" w:rsidRPr="000B40EE" w14:paraId="32023084" w14:textId="77777777" w:rsidTr="0018021C">
        <w:trPr>
          <w:trHeight w:val="345"/>
        </w:trPr>
        <w:tc>
          <w:tcPr>
            <w:tcW w:w="1134" w:type="dxa"/>
            <w:vMerge/>
            <w:tcBorders>
              <w:top w:val="single" w:sz="6" w:space="0" w:color="1F497D" w:themeColor="text2"/>
              <w:bottom w:val="single" w:sz="6" w:space="0" w:color="1F497D" w:themeColor="text2"/>
              <w:right w:val="single" w:sz="6" w:space="0" w:color="1F497D" w:themeColor="text2"/>
            </w:tcBorders>
            <w:vAlign w:val="center"/>
          </w:tcPr>
          <w:p w14:paraId="10EB0213" w14:textId="77777777" w:rsidR="000D0FFF" w:rsidRPr="000B40EE" w:rsidRDefault="000D0FFF" w:rsidP="0018021C">
            <w:pPr>
              <w:pStyle w:val="Tablenormalcondensed"/>
              <w:rPr>
                <w:sz w:val="22"/>
                <w:szCs w:val="22"/>
              </w:rPr>
            </w:pPr>
          </w:p>
        </w:tc>
        <w:tc>
          <w:tcPr>
            <w:tcW w:w="4708"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22BB434F" w14:textId="77777777" w:rsidR="000D0FFF" w:rsidRPr="000B40EE" w:rsidRDefault="000D0FFF" w:rsidP="0018021C">
            <w:pPr>
              <w:pStyle w:val="Tablenormalcondensed"/>
              <w:rPr>
                <w:sz w:val="22"/>
                <w:szCs w:val="22"/>
              </w:rPr>
            </w:pPr>
            <w:r w:rsidRPr="000B40EE">
              <w:rPr>
                <w:sz w:val="22"/>
                <w:szCs w:val="22"/>
              </w:rPr>
              <w:t xml:space="preserve">DPS directorate </w:t>
            </w:r>
          </w:p>
        </w:tc>
        <w:tc>
          <w:tcPr>
            <w:tcW w:w="65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0511EE37" w14:textId="77777777" w:rsidR="000D0FFF" w:rsidRPr="000B40EE" w:rsidRDefault="000D0FFF" w:rsidP="0018021C">
            <w:pPr>
              <w:pStyle w:val="Tablenormalcondensed"/>
              <w:rPr>
                <w:sz w:val="22"/>
                <w:szCs w:val="22"/>
              </w:rPr>
            </w:pPr>
          </w:p>
        </w:tc>
        <w:tc>
          <w:tcPr>
            <w:tcW w:w="65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1BEC7685" w14:textId="77777777" w:rsidR="000D0FFF" w:rsidRPr="000B40EE" w:rsidRDefault="000D0FFF" w:rsidP="0018021C">
            <w:pPr>
              <w:pStyle w:val="Tablenormalcondensed"/>
              <w:rPr>
                <w:sz w:val="22"/>
                <w:szCs w:val="22"/>
              </w:rPr>
            </w:pPr>
            <w:r>
              <w:rPr>
                <w:sz w:val="22"/>
                <w:szCs w:val="22"/>
              </w:rPr>
              <w:sym w:font="Wingdings" w:char="F0FC"/>
            </w:r>
          </w:p>
        </w:tc>
        <w:tc>
          <w:tcPr>
            <w:tcW w:w="65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598B8B2E" w14:textId="77777777" w:rsidR="000D0FFF" w:rsidRPr="000B40EE" w:rsidRDefault="000D0FFF" w:rsidP="0018021C">
            <w:pPr>
              <w:pStyle w:val="Tablenormalcondensed"/>
              <w:rPr>
                <w:sz w:val="22"/>
                <w:szCs w:val="22"/>
              </w:rPr>
            </w:pPr>
          </w:p>
        </w:tc>
        <w:tc>
          <w:tcPr>
            <w:tcW w:w="65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59674CC2" w14:textId="77777777" w:rsidR="000D0FFF" w:rsidRPr="000B40EE" w:rsidRDefault="000D0FFF" w:rsidP="0018021C">
            <w:pPr>
              <w:pStyle w:val="Tablenormalcondensed"/>
              <w:rPr>
                <w:sz w:val="22"/>
                <w:szCs w:val="22"/>
              </w:rPr>
            </w:pPr>
            <w:r w:rsidRPr="000B40EE">
              <w:rPr>
                <w:sz w:val="22"/>
                <w:szCs w:val="22"/>
              </w:rPr>
              <w:sym w:font="Wingdings" w:char="F0FC"/>
            </w:r>
          </w:p>
        </w:tc>
        <w:tc>
          <w:tcPr>
            <w:tcW w:w="65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6AF8A1A4" w14:textId="77777777" w:rsidR="000D0FFF" w:rsidRPr="000B40EE" w:rsidRDefault="000D0FFF" w:rsidP="0018021C">
            <w:pPr>
              <w:pStyle w:val="Tablenormalcondensed"/>
              <w:rPr>
                <w:sz w:val="22"/>
                <w:szCs w:val="22"/>
              </w:rPr>
            </w:pPr>
          </w:p>
        </w:tc>
        <w:tc>
          <w:tcPr>
            <w:tcW w:w="652" w:type="dxa"/>
            <w:tcBorders>
              <w:top w:val="single" w:sz="6" w:space="0" w:color="1F497D" w:themeColor="text2"/>
              <w:left w:val="single" w:sz="6" w:space="0" w:color="1F497D" w:themeColor="text2"/>
              <w:bottom w:val="single" w:sz="6" w:space="0" w:color="1F497D" w:themeColor="text2"/>
            </w:tcBorders>
            <w:shd w:val="clear" w:color="auto" w:fill="auto"/>
            <w:vAlign w:val="center"/>
          </w:tcPr>
          <w:p w14:paraId="5F5DF162" w14:textId="77777777" w:rsidR="000D0FFF" w:rsidRPr="000B40EE" w:rsidRDefault="000D0FFF" w:rsidP="0018021C">
            <w:pPr>
              <w:pStyle w:val="Tablenormalcondensed"/>
              <w:rPr>
                <w:sz w:val="22"/>
                <w:szCs w:val="22"/>
              </w:rPr>
            </w:pPr>
          </w:p>
        </w:tc>
      </w:tr>
      <w:tr w:rsidR="000D0FFF" w:rsidRPr="000B40EE" w14:paraId="7E01601B" w14:textId="77777777" w:rsidTr="0018021C">
        <w:trPr>
          <w:trHeight w:val="340"/>
        </w:trPr>
        <w:tc>
          <w:tcPr>
            <w:tcW w:w="1134" w:type="dxa"/>
            <w:vMerge/>
            <w:tcBorders>
              <w:top w:val="single" w:sz="6" w:space="0" w:color="1F497D" w:themeColor="text2"/>
              <w:bottom w:val="single" w:sz="6" w:space="0" w:color="1F497D" w:themeColor="text2"/>
              <w:right w:val="single" w:sz="6" w:space="0" w:color="1F497D" w:themeColor="text2"/>
            </w:tcBorders>
            <w:vAlign w:val="center"/>
          </w:tcPr>
          <w:p w14:paraId="4BF54EEE" w14:textId="77777777" w:rsidR="000D0FFF" w:rsidRPr="000B40EE" w:rsidRDefault="000D0FFF" w:rsidP="0018021C">
            <w:pPr>
              <w:pStyle w:val="Tablenormalcondensed"/>
              <w:rPr>
                <w:sz w:val="22"/>
                <w:szCs w:val="22"/>
              </w:rPr>
            </w:pPr>
          </w:p>
        </w:tc>
        <w:tc>
          <w:tcPr>
            <w:tcW w:w="4708" w:type="dxa"/>
            <w:tcBorders>
              <w:top w:val="single" w:sz="6" w:space="0" w:color="1F497D" w:themeColor="text2"/>
              <w:left w:val="single" w:sz="6" w:space="0" w:color="1F497D" w:themeColor="text2"/>
              <w:right w:val="single" w:sz="6" w:space="0" w:color="1F497D" w:themeColor="text2"/>
            </w:tcBorders>
            <w:vAlign w:val="center"/>
          </w:tcPr>
          <w:p w14:paraId="1CE1DECC" w14:textId="77777777" w:rsidR="000D0FFF" w:rsidRPr="000B40EE" w:rsidRDefault="000D0FFF" w:rsidP="0018021C">
            <w:pPr>
              <w:pStyle w:val="Tablenormalcondensed"/>
              <w:rPr>
                <w:sz w:val="22"/>
                <w:szCs w:val="22"/>
              </w:rPr>
            </w:pPr>
            <w:r>
              <w:rPr>
                <w:sz w:val="22"/>
                <w:szCs w:val="22"/>
              </w:rPr>
              <w:t>DIA Legal Team</w:t>
            </w:r>
          </w:p>
        </w:tc>
        <w:tc>
          <w:tcPr>
            <w:tcW w:w="651" w:type="dxa"/>
            <w:tcBorders>
              <w:top w:val="single" w:sz="6" w:space="0" w:color="1F497D" w:themeColor="text2"/>
              <w:left w:val="single" w:sz="6" w:space="0" w:color="1F497D" w:themeColor="text2"/>
              <w:right w:val="single" w:sz="6" w:space="0" w:color="1F497D" w:themeColor="text2"/>
            </w:tcBorders>
            <w:shd w:val="clear" w:color="auto" w:fill="auto"/>
            <w:vAlign w:val="center"/>
          </w:tcPr>
          <w:p w14:paraId="202D05E3" w14:textId="77777777" w:rsidR="000D0FFF" w:rsidRPr="000B40EE" w:rsidRDefault="000D0FFF" w:rsidP="0018021C">
            <w:pPr>
              <w:pStyle w:val="Tablenormalcondensed"/>
              <w:rPr>
                <w:sz w:val="22"/>
                <w:szCs w:val="22"/>
              </w:rPr>
            </w:pPr>
            <w:r w:rsidRPr="000B40EE">
              <w:rPr>
                <w:sz w:val="22"/>
                <w:szCs w:val="22"/>
              </w:rPr>
              <w:sym w:font="Wingdings" w:char="F0FC"/>
            </w:r>
          </w:p>
        </w:tc>
        <w:tc>
          <w:tcPr>
            <w:tcW w:w="652" w:type="dxa"/>
            <w:tcBorders>
              <w:top w:val="single" w:sz="6" w:space="0" w:color="1F497D" w:themeColor="text2"/>
              <w:left w:val="single" w:sz="6" w:space="0" w:color="1F497D" w:themeColor="text2"/>
              <w:right w:val="single" w:sz="6" w:space="0" w:color="1F497D" w:themeColor="text2"/>
            </w:tcBorders>
            <w:shd w:val="clear" w:color="auto" w:fill="auto"/>
            <w:vAlign w:val="center"/>
          </w:tcPr>
          <w:p w14:paraId="7A479DC4" w14:textId="77777777" w:rsidR="000D0FFF" w:rsidRPr="000B40EE" w:rsidRDefault="000D0FFF" w:rsidP="0018021C">
            <w:pPr>
              <w:pStyle w:val="Tablenormalcondensed"/>
              <w:rPr>
                <w:sz w:val="22"/>
                <w:szCs w:val="22"/>
              </w:rPr>
            </w:pPr>
            <w:r w:rsidRPr="000B40EE">
              <w:rPr>
                <w:sz w:val="22"/>
                <w:szCs w:val="22"/>
              </w:rPr>
              <w:sym w:font="Wingdings" w:char="F0FC"/>
            </w:r>
          </w:p>
        </w:tc>
        <w:tc>
          <w:tcPr>
            <w:tcW w:w="652" w:type="dxa"/>
            <w:tcBorders>
              <w:top w:val="single" w:sz="6" w:space="0" w:color="1F497D" w:themeColor="text2"/>
              <w:left w:val="single" w:sz="6" w:space="0" w:color="1F497D" w:themeColor="text2"/>
              <w:right w:val="single" w:sz="6" w:space="0" w:color="1F497D" w:themeColor="text2"/>
            </w:tcBorders>
            <w:shd w:val="clear" w:color="auto" w:fill="auto"/>
            <w:vAlign w:val="center"/>
          </w:tcPr>
          <w:p w14:paraId="287C7346" w14:textId="77777777" w:rsidR="000D0FFF" w:rsidRPr="000B40EE" w:rsidRDefault="000D0FFF" w:rsidP="0018021C">
            <w:pPr>
              <w:pStyle w:val="Tablenormalcondensed"/>
              <w:rPr>
                <w:sz w:val="22"/>
                <w:szCs w:val="22"/>
              </w:rPr>
            </w:pPr>
          </w:p>
        </w:tc>
        <w:tc>
          <w:tcPr>
            <w:tcW w:w="651" w:type="dxa"/>
            <w:tcBorders>
              <w:top w:val="single" w:sz="6" w:space="0" w:color="1F497D" w:themeColor="text2"/>
              <w:left w:val="single" w:sz="6" w:space="0" w:color="1F497D" w:themeColor="text2"/>
              <w:right w:val="single" w:sz="6" w:space="0" w:color="1F497D" w:themeColor="text2"/>
            </w:tcBorders>
            <w:shd w:val="clear" w:color="auto" w:fill="auto"/>
            <w:vAlign w:val="center"/>
          </w:tcPr>
          <w:p w14:paraId="495EFCB3" w14:textId="77777777" w:rsidR="000D0FFF" w:rsidRPr="000B40EE" w:rsidRDefault="000D0FFF" w:rsidP="0018021C">
            <w:pPr>
              <w:pStyle w:val="Tablenormalcondensed"/>
              <w:rPr>
                <w:sz w:val="22"/>
                <w:szCs w:val="22"/>
              </w:rPr>
            </w:pPr>
            <w:r w:rsidRPr="000B40EE">
              <w:rPr>
                <w:sz w:val="22"/>
                <w:szCs w:val="22"/>
              </w:rPr>
              <w:sym w:font="Wingdings" w:char="F0FC"/>
            </w:r>
          </w:p>
        </w:tc>
        <w:tc>
          <w:tcPr>
            <w:tcW w:w="652" w:type="dxa"/>
            <w:tcBorders>
              <w:top w:val="single" w:sz="6" w:space="0" w:color="1F497D" w:themeColor="text2"/>
              <w:left w:val="single" w:sz="6" w:space="0" w:color="1F497D" w:themeColor="text2"/>
              <w:right w:val="single" w:sz="6" w:space="0" w:color="1F497D" w:themeColor="text2"/>
            </w:tcBorders>
            <w:shd w:val="clear" w:color="auto" w:fill="auto"/>
            <w:vAlign w:val="center"/>
          </w:tcPr>
          <w:p w14:paraId="5C1148AD" w14:textId="77777777" w:rsidR="000D0FFF" w:rsidRPr="000B40EE" w:rsidRDefault="000D0FFF" w:rsidP="0018021C">
            <w:pPr>
              <w:pStyle w:val="Tablenormalcondensed"/>
              <w:rPr>
                <w:sz w:val="22"/>
                <w:szCs w:val="22"/>
              </w:rPr>
            </w:pPr>
          </w:p>
        </w:tc>
        <w:tc>
          <w:tcPr>
            <w:tcW w:w="652" w:type="dxa"/>
            <w:tcBorders>
              <w:top w:val="single" w:sz="6" w:space="0" w:color="1F497D" w:themeColor="text2"/>
              <w:left w:val="single" w:sz="6" w:space="0" w:color="1F497D" w:themeColor="text2"/>
            </w:tcBorders>
            <w:shd w:val="clear" w:color="auto" w:fill="auto"/>
            <w:vAlign w:val="center"/>
          </w:tcPr>
          <w:p w14:paraId="1E1DF309" w14:textId="77777777" w:rsidR="000D0FFF" w:rsidRPr="000B40EE" w:rsidRDefault="000D0FFF" w:rsidP="0018021C">
            <w:pPr>
              <w:pStyle w:val="Tablenormalcondensed"/>
              <w:rPr>
                <w:sz w:val="22"/>
                <w:szCs w:val="22"/>
              </w:rPr>
            </w:pPr>
          </w:p>
        </w:tc>
      </w:tr>
      <w:tr w:rsidR="000D0FFF" w:rsidRPr="000B40EE" w14:paraId="5F9A3FE0" w14:textId="77777777" w:rsidTr="0018021C">
        <w:trPr>
          <w:trHeight w:val="233"/>
        </w:trPr>
        <w:tc>
          <w:tcPr>
            <w:tcW w:w="1134" w:type="dxa"/>
            <w:vMerge w:val="restart"/>
            <w:tcBorders>
              <w:top w:val="single" w:sz="6" w:space="0" w:color="1F497D" w:themeColor="text2"/>
              <w:right w:val="single" w:sz="6" w:space="0" w:color="1F497D" w:themeColor="text2"/>
            </w:tcBorders>
            <w:vAlign w:val="center"/>
          </w:tcPr>
          <w:p w14:paraId="15D0E2B9" w14:textId="77777777" w:rsidR="000D0FFF" w:rsidRPr="000B40EE" w:rsidRDefault="000D0FFF" w:rsidP="0018021C">
            <w:pPr>
              <w:pStyle w:val="Tablenormalcondensed"/>
              <w:rPr>
                <w:sz w:val="22"/>
                <w:szCs w:val="22"/>
              </w:rPr>
            </w:pPr>
            <w:r w:rsidRPr="000B40EE">
              <w:rPr>
                <w:sz w:val="22"/>
                <w:szCs w:val="22"/>
              </w:rPr>
              <w:t>External</w:t>
            </w:r>
          </w:p>
        </w:tc>
        <w:tc>
          <w:tcPr>
            <w:tcW w:w="4708"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099690E0" w14:textId="77777777" w:rsidR="000D0FFF" w:rsidRPr="000B40EE" w:rsidRDefault="000D0FFF" w:rsidP="0018021C">
            <w:pPr>
              <w:pStyle w:val="Tablenormalcondensed"/>
              <w:rPr>
                <w:sz w:val="22"/>
                <w:szCs w:val="22"/>
              </w:rPr>
            </w:pPr>
            <w:r>
              <w:rPr>
                <w:sz w:val="22"/>
                <w:szCs w:val="22"/>
              </w:rPr>
              <w:t>Key vendors and s</w:t>
            </w:r>
            <w:r w:rsidRPr="000B40EE">
              <w:rPr>
                <w:sz w:val="22"/>
                <w:szCs w:val="22"/>
              </w:rPr>
              <w:t xml:space="preserve">uppliers </w:t>
            </w:r>
          </w:p>
        </w:tc>
        <w:tc>
          <w:tcPr>
            <w:tcW w:w="65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7040A7A8" w14:textId="77777777" w:rsidR="000D0FFF" w:rsidRPr="000B40EE" w:rsidRDefault="000D0FFF" w:rsidP="0018021C">
            <w:pPr>
              <w:pStyle w:val="Tablenormalcondensed"/>
              <w:rPr>
                <w:sz w:val="22"/>
                <w:szCs w:val="22"/>
              </w:rPr>
            </w:pPr>
            <w:r w:rsidRPr="000B40EE">
              <w:rPr>
                <w:sz w:val="22"/>
                <w:szCs w:val="22"/>
              </w:rPr>
              <w:sym w:font="Wingdings" w:char="F0FC"/>
            </w:r>
          </w:p>
        </w:tc>
        <w:tc>
          <w:tcPr>
            <w:tcW w:w="65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7B6CC067" w14:textId="77777777" w:rsidR="000D0FFF" w:rsidRPr="000B40EE" w:rsidRDefault="000D0FFF" w:rsidP="0018021C">
            <w:pPr>
              <w:pStyle w:val="Tablenormalcondensed"/>
              <w:rPr>
                <w:sz w:val="22"/>
                <w:szCs w:val="22"/>
              </w:rPr>
            </w:pPr>
            <w:r w:rsidRPr="000B40EE">
              <w:rPr>
                <w:sz w:val="22"/>
                <w:szCs w:val="22"/>
              </w:rPr>
              <w:sym w:font="Wingdings" w:char="F0FC"/>
            </w:r>
          </w:p>
        </w:tc>
        <w:tc>
          <w:tcPr>
            <w:tcW w:w="65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161E30AC" w14:textId="77777777" w:rsidR="000D0FFF" w:rsidRPr="000B40EE" w:rsidRDefault="000D0FFF" w:rsidP="0018021C">
            <w:pPr>
              <w:pStyle w:val="Tablenormalcondensed"/>
              <w:rPr>
                <w:sz w:val="22"/>
                <w:szCs w:val="22"/>
              </w:rPr>
            </w:pPr>
            <w:r w:rsidRPr="000B40EE">
              <w:rPr>
                <w:sz w:val="22"/>
                <w:szCs w:val="22"/>
              </w:rPr>
              <w:sym w:font="Wingdings" w:char="F0FC"/>
            </w:r>
          </w:p>
        </w:tc>
        <w:tc>
          <w:tcPr>
            <w:tcW w:w="65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1F3DF6B3" w14:textId="77777777" w:rsidR="000D0FFF" w:rsidRPr="000B40EE" w:rsidRDefault="000D0FFF" w:rsidP="0018021C">
            <w:pPr>
              <w:pStyle w:val="Tablenormalcondensed"/>
              <w:rPr>
                <w:sz w:val="22"/>
                <w:szCs w:val="22"/>
              </w:rPr>
            </w:pPr>
            <w:r w:rsidRPr="000B40EE">
              <w:rPr>
                <w:sz w:val="22"/>
                <w:szCs w:val="22"/>
              </w:rPr>
              <w:sym w:font="Wingdings" w:char="F0FC"/>
            </w:r>
          </w:p>
        </w:tc>
        <w:tc>
          <w:tcPr>
            <w:tcW w:w="65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272DFE0E" w14:textId="77777777" w:rsidR="000D0FFF" w:rsidRPr="000B40EE" w:rsidRDefault="000D0FFF" w:rsidP="0018021C">
            <w:pPr>
              <w:pStyle w:val="Tablenormalcondensed"/>
              <w:rPr>
                <w:sz w:val="22"/>
                <w:szCs w:val="22"/>
              </w:rPr>
            </w:pPr>
            <w:r w:rsidRPr="000B40EE">
              <w:rPr>
                <w:sz w:val="22"/>
                <w:szCs w:val="22"/>
              </w:rPr>
              <w:sym w:font="Wingdings" w:char="F0FC"/>
            </w:r>
          </w:p>
        </w:tc>
        <w:tc>
          <w:tcPr>
            <w:tcW w:w="652" w:type="dxa"/>
            <w:tcBorders>
              <w:top w:val="single" w:sz="6" w:space="0" w:color="1F497D" w:themeColor="text2"/>
              <w:left w:val="single" w:sz="6" w:space="0" w:color="1F497D" w:themeColor="text2"/>
              <w:bottom w:val="single" w:sz="6" w:space="0" w:color="1F497D" w:themeColor="text2"/>
            </w:tcBorders>
            <w:shd w:val="clear" w:color="auto" w:fill="auto"/>
            <w:vAlign w:val="center"/>
          </w:tcPr>
          <w:p w14:paraId="2A782E70" w14:textId="77777777" w:rsidR="000D0FFF" w:rsidRPr="000B40EE" w:rsidRDefault="000D0FFF" w:rsidP="0018021C">
            <w:pPr>
              <w:pStyle w:val="Tablenormalcondensed"/>
              <w:rPr>
                <w:sz w:val="22"/>
                <w:szCs w:val="22"/>
              </w:rPr>
            </w:pPr>
          </w:p>
        </w:tc>
      </w:tr>
      <w:tr w:rsidR="000D0FFF" w:rsidRPr="000B40EE" w14:paraId="2D9EEE2F" w14:textId="77777777" w:rsidTr="0018021C">
        <w:trPr>
          <w:trHeight w:val="233"/>
        </w:trPr>
        <w:tc>
          <w:tcPr>
            <w:tcW w:w="1134" w:type="dxa"/>
            <w:vMerge/>
            <w:tcBorders>
              <w:right w:val="single" w:sz="6" w:space="0" w:color="1F497D" w:themeColor="text2"/>
            </w:tcBorders>
            <w:vAlign w:val="center"/>
          </w:tcPr>
          <w:p w14:paraId="3B914F43" w14:textId="77777777" w:rsidR="000D0FFF" w:rsidRPr="000B40EE" w:rsidRDefault="000D0FFF" w:rsidP="0018021C">
            <w:pPr>
              <w:pStyle w:val="Tablenormalcondensed"/>
              <w:rPr>
                <w:sz w:val="22"/>
                <w:szCs w:val="22"/>
              </w:rPr>
            </w:pPr>
          </w:p>
        </w:tc>
        <w:tc>
          <w:tcPr>
            <w:tcW w:w="4708"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509AA3D7" w14:textId="77777777" w:rsidR="000D0FFF" w:rsidRPr="000B40EE" w:rsidRDefault="000D0FFF" w:rsidP="0018021C">
            <w:pPr>
              <w:pStyle w:val="Tablenormalcondensed"/>
              <w:rPr>
                <w:sz w:val="22"/>
                <w:szCs w:val="22"/>
              </w:rPr>
            </w:pPr>
            <w:r w:rsidRPr="000B40EE">
              <w:rPr>
                <w:sz w:val="22"/>
                <w:szCs w:val="22"/>
              </w:rPr>
              <w:t>Other Agencies</w:t>
            </w:r>
          </w:p>
        </w:tc>
        <w:tc>
          <w:tcPr>
            <w:tcW w:w="65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578C5B87" w14:textId="77777777" w:rsidR="000D0FFF" w:rsidRPr="000B40EE" w:rsidRDefault="000D0FFF" w:rsidP="0018021C">
            <w:pPr>
              <w:pStyle w:val="Tablenormalcondensed"/>
              <w:rPr>
                <w:sz w:val="22"/>
                <w:szCs w:val="22"/>
              </w:rPr>
            </w:pPr>
            <w:r w:rsidRPr="000B40EE">
              <w:rPr>
                <w:sz w:val="22"/>
                <w:szCs w:val="22"/>
              </w:rPr>
              <w:sym w:font="Wingdings" w:char="F0FC"/>
            </w:r>
          </w:p>
        </w:tc>
        <w:tc>
          <w:tcPr>
            <w:tcW w:w="65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3EA01D83" w14:textId="77777777" w:rsidR="000D0FFF" w:rsidRPr="000B40EE" w:rsidRDefault="000D0FFF" w:rsidP="0018021C">
            <w:pPr>
              <w:pStyle w:val="Tablenormalcondensed"/>
              <w:rPr>
                <w:sz w:val="22"/>
                <w:szCs w:val="22"/>
              </w:rPr>
            </w:pPr>
            <w:r w:rsidRPr="000B40EE">
              <w:rPr>
                <w:sz w:val="22"/>
                <w:szCs w:val="22"/>
              </w:rPr>
              <w:sym w:font="Wingdings" w:char="F0FC"/>
            </w:r>
          </w:p>
        </w:tc>
        <w:tc>
          <w:tcPr>
            <w:tcW w:w="65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1F9911C5" w14:textId="77777777" w:rsidR="000D0FFF" w:rsidRPr="000B40EE" w:rsidRDefault="000D0FFF" w:rsidP="0018021C">
            <w:pPr>
              <w:pStyle w:val="Tablenormalcondensed"/>
              <w:rPr>
                <w:sz w:val="22"/>
                <w:szCs w:val="22"/>
              </w:rPr>
            </w:pPr>
            <w:r w:rsidRPr="000B40EE">
              <w:rPr>
                <w:sz w:val="22"/>
                <w:szCs w:val="22"/>
              </w:rPr>
              <w:sym w:font="Wingdings" w:char="F0FC"/>
            </w:r>
          </w:p>
        </w:tc>
        <w:tc>
          <w:tcPr>
            <w:tcW w:w="65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4E4B6A9D" w14:textId="77777777" w:rsidR="000D0FFF" w:rsidRPr="000B40EE" w:rsidRDefault="000D0FFF" w:rsidP="0018021C">
            <w:pPr>
              <w:pStyle w:val="Tablenormalcondensed"/>
              <w:rPr>
                <w:sz w:val="22"/>
                <w:szCs w:val="22"/>
              </w:rPr>
            </w:pPr>
            <w:r w:rsidRPr="000B40EE">
              <w:rPr>
                <w:sz w:val="22"/>
                <w:szCs w:val="22"/>
              </w:rPr>
              <w:sym w:font="Wingdings" w:char="F0FC"/>
            </w:r>
          </w:p>
        </w:tc>
        <w:tc>
          <w:tcPr>
            <w:tcW w:w="65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3E45DDC8" w14:textId="77777777" w:rsidR="000D0FFF" w:rsidRPr="000B40EE" w:rsidRDefault="000D0FFF" w:rsidP="0018021C">
            <w:pPr>
              <w:pStyle w:val="Tablenormalcondensed"/>
              <w:rPr>
                <w:sz w:val="22"/>
                <w:szCs w:val="22"/>
              </w:rPr>
            </w:pPr>
            <w:r w:rsidRPr="000B40EE">
              <w:rPr>
                <w:sz w:val="22"/>
                <w:szCs w:val="22"/>
              </w:rPr>
              <w:sym w:font="Wingdings" w:char="F0FC"/>
            </w:r>
          </w:p>
        </w:tc>
        <w:tc>
          <w:tcPr>
            <w:tcW w:w="652" w:type="dxa"/>
            <w:tcBorders>
              <w:top w:val="single" w:sz="6" w:space="0" w:color="1F497D" w:themeColor="text2"/>
              <w:left w:val="single" w:sz="6" w:space="0" w:color="1F497D" w:themeColor="text2"/>
              <w:bottom w:val="single" w:sz="6" w:space="0" w:color="1F497D" w:themeColor="text2"/>
            </w:tcBorders>
            <w:shd w:val="clear" w:color="auto" w:fill="auto"/>
            <w:vAlign w:val="center"/>
          </w:tcPr>
          <w:p w14:paraId="195A05D8" w14:textId="77777777" w:rsidR="000D0FFF" w:rsidRPr="000B40EE" w:rsidRDefault="000D0FFF" w:rsidP="0018021C">
            <w:pPr>
              <w:pStyle w:val="Tablenormalcondensed"/>
              <w:rPr>
                <w:sz w:val="22"/>
                <w:szCs w:val="22"/>
              </w:rPr>
            </w:pPr>
            <w:r w:rsidRPr="000B40EE">
              <w:rPr>
                <w:sz w:val="22"/>
                <w:szCs w:val="22"/>
              </w:rPr>
              <w:sym w:font="Wingdings" w:char="F0FC"/>
            </w:r>
          </w:p>
        </w:tc>
      </w:tr>
      <w:tr w:rsidR="000D0FFF" w:rsidRPr="000B40EE" w14:paraId="2622A427" w14:textId="77777777" w:rsidTr="0018021C">
        <w:trPr>
          <w:trHeight w:val="233"/>
        </w:trPr>
        <w:tc>
          <w:tcPr>
            <w:tcW w:w="1134" w:type="dxa"/>
            <w:vMerge/>
            <w:tcBorders>
              <w:bottom w:val="single" w:sz="6" w:space="0" w:color="1F497D" w:themeColor="text2"/>
              <w:right w:val="single" w:sz="6" w:space="0" w:color="1F497D" w:themeColor="text2"/>
            </w:tcBorders>
            <w:vAlign w:val="center"/>
          </w:tcPr>
          <w:p w14:paraId="45245C30" w14:textId="77777777" w:rsidR="000D0FFF" w:rsidRPr="000B40EE" w:rsidRDefault="000D0FFF" w:rsidP="0018021C">
            <w:pPr>
              <w:pStyle w:val="Tablenormalcondensed"/>
              <w:rPr>
                <w:sz w:val="22"/>
                <w:szCs w:val="22"/>
              </w:rPr>
            </w:pPr>
          </w:p>
        </w:tc>
        <w:tc>
          <w:tcPr>
            <w:tcW w:w="4708" w:type="dxa"/>
            <w:tcBorders>
              <w:top w:val="single" w:sz="6" w:space="0" w:color="1F497D" w:themeColor="text2"/>
              <w:left w:val="single" w:sz="6" w:space="0" w:color="1F497D" w:themeColor="text2"/>
              <w:bottom w:val="single" w:sz="6" w:space="0" w:color="1F497D" w:themeColor="text2"/>
              <w:right w:val="single" w:sz="6" w:space="0" w:color="1F497D" w:themeColor="text2"/>
            </w:tcBorders>
            <w:vAlign w:val="center"/>
          </w:tcPr>
          <w:p w14:paraId="1EF1727C" w14:textId="77777777" w:rsidR="000D0FFF" w:rsidRPr="000B40EE" w:rsidRDefault="000D0FFF" w:rsidP="0018021C">
            <w:pPr>
              <w:pStyle w:val="Tablenormalcondensed"/>
              <w:rPr>
                <w:sz w:val="22"/>
                <w:szCs w:val="22"/>
              </w:rPr>
            </w:pPr>
            <w:r w:rsidRPr="00CA556C">
              <w:rPr>
                <w:sz w:val="22"/>
                <w:szCs w:val="22"/>
              </w:rPr>
              <w:t>MBIE – Government Procurement Branch</w:t>
            </w:r>
          </w:p>
        </w:tc>
        <w:tc>
          <w:tcPr>
            <w:tcW w:w="65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2FC1B8BE" w14:textId="77777777" w:rsidR="000D0FFF" w:rsidRPr="000B40EE" w:rsidRDefault="000D0FFF" w:rsidP="0018021C">
            <w:pPr>
              <w:pStyle w:val="Tablenormalcondensed"/>
              <w:rPr>
                <w:sz w:val="22"/>
                <w:szCs w:val="22"/>
              </w:rPr>
            </w:pPr>
            <w:r w:rsidRPr="000B40EE">
              <w:rPr>
                <w:sz w:val="22"/>
                <w:szCs w:val="22"/>
              </w:rPr>
              <w:sym w:font="Wingdings" w:char="F0FC"/>
            </w:r>
          </w:p>
        </w:tc>
        <w:tc>
          <w:tcPr>
            <w:tcW w:w="65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35D9259E" w14:textId="77777777" w:rsidR="000D0FFF" w:rsidRPr="000B40EE" w:rsidRDefault="000D0FFF" w:rsidP="0018021C">
            <w:pPr>
              <w:pStyle w:val="Tablenormalcondensed"/>
              <w:rPr>
                <w:sz w:val="22"/>
                <w:szCs w:val="22"/>
              </w:rPr>
            </w:pPr>
            <w:r w:rsidRPr="000B40EE">
              <w:rPr>
                <w:sz w:val="22"/>
                <w:szCs w:val="22"/>
              </w:rPr>
              <w:sym w:font="Wingdings" w:char="F0FC"/>
            </w:r>
          </w:p>
        </w:tc>
        <w:tc>
          <w:tcPr>
            <w:tcW w:w="65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6684FB02" w14:textId="77777777" w:rsidR="000D0FFF" w:rsidRPr="000B40EE" w:rsidRDefault="000D0FFF" w:rsidP="0018021C">
            <w:pPr>
              <w:pStyle w:val="Tablenormalcondensed"/>
              <w:rPr>
                <w:sz w:val="22"/>
                <w:szCs w:val="22"/>
              </w:rPr>
            </w:pPr>
            <w:r w:rsidRPr="000B40EE">
              <w:rPr>
                <w:sz w:val="22"/>
                <w:szCs w:val="22"/>
              </w:rPr>
              <w:sym w:font="Wingdings" w:char="F0FC"/>
            </w:r>
          </w:p>
        </w:tc>
        <w:tc>
          <w:tcPr>
            <w:tcW w:w="65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169E690D" w14:textId="77777777" w:rsidR="000D0FFF" w:rsidRPr="000B40EE" w:rsidRDefault="000D0FFF" w:rsidP="0018021C">
            <w:pPr>
              <w:pStyle w:val="Tablenormalcondensed"/>
              <w:rPr>
                <w:sz w:val="22"/>
                <w:szCs w:val="22"/>
              </w:rPr>
            </w:pPr>
            <w:r w:rsidRPr="000B40EE">
              <w:rPr>
                <w:sz w:val="22"/>
                <w:szCs w:val="22"/>
              </w:rPr>
              <w:sym w:font="Wingdings" w:char="F0FC"/>
            </w:r>
          </w:p>
        </w:tc>
        <w:tc>
          <w:tcPr>
            <w:tcW w:w="65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uto"/>
            <w:vAlign w:val="center"/>
          </w:tcPr>
          <w:p w14:paraId="5630CBB9" w14:textId="77777777" w:rsidR="000D0FFF" w:rsidRPr="000B40EE" w:rsidRDefault="000D0FFF" w:rsidP="0018021C">
            <w:pPr>
              <w:pStyle w:val="Tablenormalcondensed"/>
              <w:rPr>
                <w:sz w:val="22"/>
                <w:szCs w:val="22"/>
              </w:rPr>
            </w:pPr>
          </w:p>
        </w:tc>
        <w:tc>
          <w:tcPr>
            <w:tcW w:w="652" w:type="dxa"/>
            <w:tcBorders>
              <w:top w:val="single" w:sz="6" w:space="0" w:color="1F497D" w:themeColor="text2"/>
              <w:left w:val="single" w:sz="6" w:space="0" w:color="1F497D" w:themeColor="text2"/>
              <w:bottom w:val="single" w:sz="6" w:space="0" w:color="1F497D" w:themeColor="text2"/>
            </w:tcBorders>
            <w:shd w:val="clear" w:color="auto" w:fill="auto"/>
            <w:vAlign w:val="center"/>
          </w:tcPr>
          <w:p w14:paraId="2904544C" w14:textId="77777777" w:rsidR="000D0FFF" w:rsidRPr="000B40EE" w:rsidRDefault="000D0FFF" w:rsidP="0018021C">
            <w:pPr>
              <w:pStyle w:val="Tablenormalcondensed"/>
              <w:rPr>
                <w:sz w:val="22"/>
                <w:szCs w:val="22"/>
              </w:rPr>
            </w:pPr>
          </w:p>
        </w:tc>
      </w:tr>
    </w:tbl>
    <w:p w14:paraId="1DBB8132" w14:textId="3D580DF7" w:rsidR="001B76EB" w:rsidRDefault="001B76EB">
      <w:pPr>
        <w:pStyle w:val="BodyText"/>
        <w:spacing w:before="10"/>
        <w:rPr>
          <w:rFonts w:ascii="Times New Roman"/>
          <w:sz w:val="16"/>
        </w:rPr>
      </w:pPr>
    </w:p>
    <w:p w14:paraId="761C9C69" w14:textId="77777777" w:rsidR="001B76EB" w:rsidRDefault="001B76EB">
      <w:pPr>
        <w:pStyle w:val="BodyText"/>
        <w:spacing w:before="10"/>
        <w:rPr>
          <w:rFonts w:ascii="Times New Roman"/>
          <w:sz w:val="16"/>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880"/>
        <w:gridCol w:w="4883"/>
      </w:tblGrid>
      <w:tr w:rsidR="00A771DF" w14:paraId="0458A71A" w14:textId="77777777">
        <w:trPr>
          <w:trHeight w:hRule="exact" w:val="492"/>
        </w:trPr>
        <w:tc>
          <w:tcPr>
            <w:tcW w:w="9763" w:type="dxa"/>
            <w:gridSpan w:val="2"/>
            <w:shd w:val="clear" w:color="auto" w:fill="1F536B"/>
          </w:tcPr>
          <w:p w14:paraId="0458A719" w14:textId="77777777" w:rsidR="00A771DF" w:rsidRDefault="00A26593">
            <w:pPr>
              <w:pStyle w:val="TableParagraph"/>
              <w:spacing w:before="93"/>
              <w:ind w:left="117"/>
              <w:rPr>
                <w:b/>
                <w:sz w:val="26"/>
              </w:rPr>
            </w:pPr>
            <w:r>
              <w:rPr>
                <w:b/>
                <w:color w:val="FFFFFF"/>
                <w:sz w:val="26"/>
              </w:rPr>
              <w:t>Your delegations</w:t>
            </w:r>
          </w:p>
        </w:tc>
      </w:tr>
      <w:tr w:rsidR="00A771DF" w:rsidRPr="00FD0FB1" w14:paraId="0458A71D" w14:textId="77777777">
        <w:trPr>
          <w:trHeight w:hRule="exact" w:val="379"/>
        </w:trPr>
        <w:tc>
          <w:tcPr>
            <w:tcW w:w="4880" w:type="dxa"/>
            <w:tcBorders>
              <w:bottom w:val="single" w:sz="6" w:space="0" w:color="1F536B"/>
              <w:right w:val="single" w:sz="6" w:space="0" w:color="1F536B"/>
            </w:tcBorders>
          </w:tcPr>
          <w:p w14:paraId="0458A71B" w14:textId="77777777" w:rsidR="00A771DF" w:rsidRPr="00FD0FB1" w:rsidRDefault="00A26593">
            <w:pPr>
              <w:pStyle w:val="TableParagraph"/>
              <w:spacing w:before="38"/>
              <w:ind w:left="115" w:right="94"/>
            </w:pPr>
            <w:r w:rsidRPr="00FD0FB1">
              <w:t>Human Resources and financial delegations</w:t>
            </w:r>
          </w:p>
        </w:tc>
        <w:tc>
          <w:tcPr>
            <w:tcW w:w="4883" w:type="dxa"/>
            <w:tcBorders>
              <w:left w:val="single" w:sz="6" w:space="0" w:color="1F536B"/>
              <w:bottom w:val="single" w:sz="6" w:space="0" w:color="1F536B"/>
            </w:tcBorders>
          </w:tcPr>
          <w:p w14:paraId="0458A71C" w14:textId="7EA3CF57" w:rsidR="00A771DF" w:rsidRPr="00FD0FB1" w:rsidRDefault="005A1589">
            <w:pPr>
              <w:pStyle w:val="TableParagraph"/>
              <w:spacing w:before="38"/>
            </w:pPr>
            <w:r>
              <w:t>Level Z</w:t>
            </w:r>
          </w:p>
        </w:tc>
      </w:tr>
      <w:tr w:rsidR="00A771DF" w:rsidRPr="00FD0FB1" w14:paraId="0458A720" w14:textId="77777777">
        <w:trPr>
          <w:trHeight w:hRule="exact" w:val="389"/>
        </w:trPr>
        <w:tc>
          <w:tcPr>
            <w:tcW w:w="4880" w:type="dxa"/>
            <w:tcBorders>
              <w:top w:val="single" w:sz="6" w:space="0" w:color="1F536B"/>
              <w:bottom w:val="single" w:sz="6" w:space="0" w:color="1F536B"/>
              <w:right w:val="single" w:sz="6" w:space="0" w:color="1F536B"/>
            </w:tcBorders>
          </w:tcPr>
          <w:p w14:paraId="0458A71E" w14:textId="77777777" w:rsidR="00A771DF" w:rsidRPr="00FD0FB1" w:rsidRDefault="00A26593">
            <w:pPr>
              <w:pStyle w:val="TableParagraph"/>
              <w:spacing w:before="40"/>
              <w:ind w:left="115" w:right="94"/>
            </w:pPr>
            <w:r w:rsidRPr="00FD0FB1">
              <w:t>Direct reports</w:t>
            </w:r>
          </w:p>
        </w:tc>
        <w:tc>
          <w:tcPr>
            <w:tcW w:w="4883" w:type="dxa"/>
            <w:tcBorders>
              <w:top w:val="single" w:sz="6" w:space="0" w:color="1F536B"/>
              <w:left w:val="single" w:sz="6" w:space="0" w:color="1F536B"/>
              <w:bottom w:val="single" w:sz="6" w:space="0" w:color="1F536B"/>
            </w:tcBorders>
          </w:tcPr>
          <w:p w14:paraId="0458A71F" w14:textId="4E07D3F2" w:rsidR="00A771DF" w:rsidRPr="00FD0FB1" w:rsidRDefault="005A1589">
            <w:pPr>
              <w:pStyle w:val="TableParagraph"/>
              <w:spacing w:before="40"/>
            </w:pPr>
            <w:r>
              <w:t>Nil</w:t>
            </w:r>
          </w:p>
        </w:tc>
      </w:tr>
    </w:tbl>
    <w:p w14:paraId="0458A721" w14:textId="3F15AFB3" w:rsidR="00200EFF" w:rsidRDefault="00200EFF">
      <w:pPr>
        <w:pStyle w:val="BodyText"/>
        <w:spacing w:before="1"/>
        <w:rPr>
          <w:rFonts w:ascii="Times New Roman"/>
          <w:sz w:val="17"/>
        </w:rPr>
      </w:pPr>
    </w:p>
    <w:tbl>
      <w:tblPr>
        <w:tblW w:w="0" w:type="auto"/>
        <w:tblLook w:val="0000" w:firstRow="0" w:lastRow="0" w:firstColumn="0" w:lastColumn="0" w:noHBand="0" w:noVBand="0"/>
      </w:tblPr>
      <w:tblGrid>
        <w:gridCol w:w="3652"/>
        <w:gridCol w:w="6554"/>
      </w:tblGrid>
      <w:tr w:rsidR="00D37127" w14:paraId="7492FD2A" w14:textId="77777777" w:rsidTr="00CA556C">
        <w:tc>
          <w:tcPr>
            <w:tcW w:w="3652" w:type="dxa"/>
            <w:tcBorders>
              <w:right w:val="single" w:sz="4" w:space="0" w:color="1F546B"/>
            </w:tcBorders>
            <w:shd w:val="clear" w:color="auto" w:fill="1F546B"/>
          </w:tcPr>
          <w:p w14:paraId="70A77E9B" w14:textId="3EE93583" w:rsidR="00D37127" w:rsidRDefault="00D37127" w:rsidP="00D37127">
            <w:pPr>
              <w:spacing w:before="80" w:after="80"/>
              <w:rPr>
                <w:lang w:val="en-NZ"/>
              </w:rPr>
            </w:pPr>
            <w:r>
              <w:rPr>
                <w:b/>
                <w:color w:val="FFFFFF"/>
                <w:sz w:val="26"/>
              </w:rPr>
              <w:t>Your success profile for</w:t>
            </w:r>
            <w:r>
              <w:rPr>
                <w:b/>
                <w:color w:val="FFFFFF"/>
                <w:spacing w:val="-11"/>
                <w:sz w:val="26"/>
              </w:rPr>
              <w:t xml:space="preserve"> </w:t>
            </w:r>
            <w:r>
              <w:rPr>
                <w:b/>
                <w:color w:val="FFFFFF"/>
                <w:sz w:val="26"/>
              </w:rPr>
              <w:t>this</w:t>
            </w:r>
            <w:r>
              <w:rPr>
                <w:b/>
                <w:color w:val="FFFFFF"/>
                <w:spacing w:val="-2"/>
                <w:sz w:val="26"/>
              </w:rPr>
              <w:t xml:space="preserve"> </w:t>
            </w:r>
            <w:r>
              <w:rPr>
                <w:b/>
                <w:color w:val="FFFFFF"/>
                <w:sz w:val="26"/>
              </w:rPr>
              <w:t>role</w:t>
            </w:r>
          </w:p>
        </w:tc>
        <w:tc>
          <w:tcPr>
            <w:tcW w:w="6554" w:type="dxa"/>
            <w:tcBorders>
              <w:left w:val="single" w:sz="4" w:space="0" w:color="1F546B"/>
            </w:tcBorders>
            <w:shd w:val="clear" w:color="auto" w:fill="1F546B"/>
          </w:tcPr>
          <w:p w14:paraId="64B0FAD0" w14:textId="75762AB4" w:rsidR="00D37127" w:rsidRDefault="00D37127" w:rsidP="00D37127">
            <w:pPr>
              <w:spacing w:before="80" w:after="80"/>
              <w:rPr>
                <w:lang w:val="en-NZ"/>
              </w:rPr>
            </w:pPr>
            <w:r>
              <w:rPr>
                <w:b/>
                <w:color w:val="FFFFFF"/>
                <w:sz w:val="26"/>
              </w:rPr>
              <w:t>What you will bring</w:t>
            </w:r>
            <w:r>
              <w:rPr>
                <w:b/>
                <w:color w:val="FFFFFF"/>
                <w:spacing w:val="-21"/>
                <w:sz w:val="26"/>
              </w:rPr>
              <w:t xml:space="preserve"> </w:t>
            </w:r>
            <w:r>
              <w:rPr>
                <w:b/>
                <w:color w:val="FFFFFF"/>
                <w:sz w:val="26"/>
              </w:rPr>
              <w:t>specifically</w:t>
            </w:r>
          </w:p>
        </w:tc>
      </w:tr>
      <w:tr w:rsidR="00D37127" w:rsidRPr="00FD0FB1" w14:paraId="317C8E8C" w14:textId="77777777" w:rsidTr="00CA556C">
        <w:tc>
          <w:tcPr>
            <w:tcW w:w="3652" w:type="dxa"/>
            <w:tcBorders>
              <w:bottom w:val="single" w:sz="4" w:space="0" w:color="1F546B"/>
              <w:right w:val="single" w:sz="4" w:space="0" w:color="1F546B"/>
            </w:tcBorders>
          </w:tcPr>
          <w:p w14:paraId="36B79C08" w14:textId="2E2745BC" w:rsidR="00D37127" w:rsidRPr="00FD0FB1" w:rsidRDefault="005A1589" w:rsidP="00D37127">
            <w:pPr>
              <w:rPr>
                <w:lang w:val="en-NZ"/>
              </w:rPr>
            </w:pPr>
            <w:r w:rsidRPr="00CA22D5">
              <w:t xml:space="preserve">At DIA, we have a Capability Framework to help guide our people towards the </w:t>
            </w:r>
            <w:proofErr w:type="spellStart"/>
            <w:r w:rsidRPr="00CA22D5">
              <w:t>behaviours</w:t>
            </w:r>
            <w:proofErr w:type="spellEnd"/>
            <w:r w:rsidRPr="00CA22D5">
              <w:t xml:space="preserve"> and skills needed to be successful. The core </w:t>
            </w:r>
            <w:r w:rsidRPr="00CA22D5">
              <w:lastRenderedPageBreak/>
              <w:t xml:space="preserve">success profile for this role is </w:t>
            </w:r>
            <w:hyperlink r:id="rId16" w:history="1">
              <w:r w:rsidRPr="00CA22D5">
                <w:rPr>
                  <w:rStyle w:val="Hyperlink"/>
                </w:rPr>
                <w:t>Specialist</w:t>
              </w:r>
            </w:hyperlink>
            <w:r w:rsidRPr="00CA22D5">
              <w:t>.</w:t>
            </w:r>
          </w:p>
          <w:p w14:paraId="3CE9A8B6" w14:textId="77777777" w:rsidR="00D37127" w:rsidRPr="00FD0FB1" w:rsidRDefault="00D37127" w:rsidP="00D37127">
            <w:pPr>
              <w:rPr>
                <w:lang w:val="en-NZ"/>
              </w:rPr>
            </w:pPr>
          </w:p>
          <w:p w14:paraId="6AFA24BB" w14:textId="77777777" w:rsidR="00D37127" w:rsidRPr="00FD0FB1" w:rsidRDefault="00D37127" w:rsidP="00D37127">
            <w:pPr>
              <w:rPr>
                <w:lang w:val="en-NZ"/>
              </w:rPr>
            </w:pPr>
            <w:r w:rsidRPr="00FD0FB1">
              <w:rPr>
                <w:lang w:val="en-NZ"/>
              </w:rPr>
              <w:t>Keys to Success:</w:t>
            </w:r>
          </w:p>
          <w:p w14:paraId="1960193D" w14:textId="626D140B" w:rsidR="00D37127" w:rsidRPr="00CA556C" w:rsidRDefault="00CA556C" w:rsidP="00CA556C">
            <w:pPr>
              <w:pStyle w:val="ListParagraph"/>
              <w:numPr>
                <w:ilvl w:val="0"/>
                <w:numId w:val="15"/>
              </w:numPr>
              <w:rPr>
                <w:lang w:val="en-NZ"/>
              </w:rPr>
            </w:pPr>
            <w:r w:rsidRPr="00CA556C">
              <w:rPr>
                <w:lang w:val="en-NZ"/>
              </w:rPr>
              <w:t>P</w:t>
            </w:r>
            <w:r w:rsidR="00D37127" w:rsidRPr="00CA556C">
              <w:rPr>
                <w:lang w:val="en-NZ"/>
              </w:rPr>
              <w:t>roblem solving</w:t>
            </w:r>
          </w:p>
          <w:p w14:paraId="16B50404" w14:textId="5306EB27" w:rsidR="00D37127" w:rsidRPr="00CA556C" w:rsidRDefault="00D37127" w:rsidP="00CA556C">
            <w:pPr>
              <w:pStyle w:val="ListParagraph"/>
              <w:numPr>
                <w:ilvl w:val="0"/>
                <w:numId w:val="15"/>
              </w:numPr>
              <w:rPr>
                <w:lang w:val="en-NZ"/>
              </w:rPr>
            </w:pPr>
            <w:r w:rsidRPr="00CA556C">
              <w:rPr>
                <w:lang w:val="en-NZ"/>
              </w:rPr>
              <w:t>Critical thinking</w:t>
            </w:r>
          </w:p>
          <w:p w14:paraId="3967D28A" w14:textId="59FD36B4" w:rsidR="00D37127" w:rsidRPr="00CA556C" w:rsidRDefault="00D37127" w:rsidP="00CA556C">
            <w:pPr>
              <w:pStyle w:val="ListParagraph"/>
              <w:numPr>
                <w:ilvl w:val="0"/>
                <w:numId w:val="15"/>
              </w:numPr>
              <w:rPr>
                <w:lang w:val="en-NZ"/>
              </w:rPr>
            </w:pPr>
            <w:r w:rsidRPr="00CA556C">
              <w:rPr>
                <w:lang w:val="en-NZ"/>
              </w:rPr>
              <w:t>Interpersonal savvy</w:t>
            </w:r>
          </w:p>
          <w:p w14:paraId="5F04BDBD" w14:textId="49274115" w:rsidR="00D37127" w:rsidRPr="00CA556C" w:rsidRDefault="00D37127" w:rsidP="00CA556C">
            <w:pPr>
              <w:pStyle w:val="ListParagraph"/>
              <w:numPr>
                <w:ilvl w:val="0"/>
                <w:numId w:val="15"/>
              </w:numPr>
              <w:rPr>
                <w:lang w:val="en-NZ"/>
              </w:rPr>
            </w:pPr>
            <w:r w:rsidRPr="00CA556C">
              <w:rPr>
                <w:lang w:val="en-NZ"/>
              </w:rPr>
              <w:t>Navigating complexity</w:t>
            </w:r>
          </w:p>
          <w:p w14:paraId="53EFF20C" w14:textId="3946FCE3" w:rsidR="00D37127" w:rsidRPr="00CA556C" w:rsidRDefault="00D37127" w:rsidP="00CA556C">
            <w:pPr>
              <w:pStyle w:val="ListParagraph"/>
              <w:numPr>
                <w:ilvl w:val="0"/>
                <w:numId w:val="15"/>
              </w:numPr>
              <w:rPr>
                <w:lang w:val="en-NZ"/>
              </w:rPr>
            </w:pPr>
            <w:r w:rsidRPr="00CA556C">
              <w:rPr>
                <w:lang w:val="en-NZ"/>
              </w:rPr>
              <w:t>Communicating with influence</w:t>
            </w:r>
          </w:p>
          <w:p w14:paraId="46071AE9" w14:textId="37258FE6" w:rsidR="00D37127" w:rsidRPr="00CA556C" w:rsidRDefault="00D37127" w:rsidP="00CA556C">
            <w:pPr>
              <w:pStyle w:val="ListParagraph"/>
              <w:numPr>
                <w:ilvl w:val="0"/>
                <w:numId w:val="15"/>
              </w:numPr>
              <w:rPr>
                <w:lang w:val="en-NZ"/>
              </w:rPr>
            </w:pPr>
            <w:r w:rsidRPr="00CA556C">
              <w:rPr>
                <w:lang w:val="en-NZ"/>
              </w:rPr>
              <w:t>Technical and specialist learning</w:t>
            </w:r>
          </w:p>
        </w:tc>
        <w:tc>
          <w:tcPr>
            <w:tcW w:w="6554" w:type="dxa"/>
            <w:tcBorders>
              <w:left w:val="single" w:sz="4" w:space="0" w:color="1F546B"/>
              <w:bottom w:val="single" w:sz="4" w:space="0" w:color="1F546B"/>
            </w:tcBorders>
          </w:tcPr>
          <w:p w14:paraId="1A36CCBB" w14:textId="07982B83" w:rsidR="00D37127" w:rsidRPr="00FD0FB1" w:rsidRDefault="00D37127" w:rsidP="00D37127">
            <w:pPr>
              <w:rPr>
                <w:b/>
                <w:lang w:val="en-NZ"/>
              </w:rPr>
            </w:pPr>
            <w:r w:rsidRPr="00FD0FB1">
              <w:rPr>
                <w:b/>
                <w:lang w:val="en-NZ"/>
              </w:rPr>
              <w:lastRenderedPageBreak/>
              <w:t>Experience:</w:t>
            </w:r>
          </w:p>
          <w:p w14:paraId="72BB94F7" w14:textId="77777777" w:rsidR="00D37127" w:rsidRPr="00FD0FB1" w:rsidRDefault="00D37127" w:rsidP="00D37127">
            <w:pPr>
              <w:pStyle w:val="ListParagraph"/>
              <w:numPr>
                <w:ilvl w:val="0"/>
                <w:numId w:val="13"/>
              </w:numPr>
              <w:rPr>
                <w:lang w:val="en-NZ"/>
              </w:rPr>
            </w:pPr>
            <w:r w:rsidRPr="00FD0FB1">
              <w:rPr>
                <w:lang w:val="en-NZ"/>
              </w:rPr>
              <w:t xml:space="preserve">Significant experience and expertise in the development of ICT contractual documentation, schedules, memorandum of understanding, subscription agreements, service catalogues, </w:t>
            </w:r>
            <w:r w:rsidRPr="00FD0FB1">
              <w:rPr>
                <w:lang w:val="en-NZ"/>
              </w:rPr>
              <w:lastRenderedPageBreak/>
              <w:t>appropriate execution of contracts, deeds of variation and letters of renewal.</w:t>
            </w:r>
          </w:p>
          <w:p w14:paraId="7A43BD1E" w14:textId="77777777" w:rsidR="00D37127" w:rsidRPr="00FD0FB1" w:rsidRDefault="00D37127" w:rsidP="00D37127">
            <w:pPr>
              <w:pStyle w:val="ListParagraph"/>
              <w:numPr>
                <w:ilvl w:val="0"/>
                <w:numId w:val="13"/>
              </w:numPr>
              <w:rPr>
                <w:lang w:val="en-NZ"/>
              </w:rPr>
            </w:pPr>
            <w:r w:rsidRPr="00FD0FB1">
              <w:rPr>
                <w:lang w:val="en-NZ"/>
              </w:rPr>
              <w:t>Experience working within the ICT environment, with a sound understanding of the New Zealand market context.</w:t>
            </w:r>
          </w:p>
          <w:p w14:paraId="6CC18571" w14:textId="613755F4" w:rsidR="00D37127" w:rsidRPr="00FD0FB1" w:rsidRDefault="00D37127" w:rsidP="00D37127">
            <w:pPr>
              <w:pStyle w:val="ListParagraph"/>
              <w:numPr>
                <w:ilvl w:val="0"/>
                <w:numId w:val="13"/>
              </w:numPr>
              <w:rPr>
                <w:lang w:val="en-NZ"/>
              </w:rPr>
            </w:pPr>
            <w:r w:rsidRPr="00FD0FB1">
              <w:rPr>
                <w:lang w:val="en-NZ"/>
              </w:rPr>
              <w:t>Experience in the development and continuous improvement of policy, frameworks and methodologies within a complex business environment.</w:t>
            </w:r>
          </w:p>
          <w:p w14:paraId="429D5565" w14:textId="77777777" w:rsidR="00D37127" w:rsidRPr="00FD0FB1" w:rsidRDefault="00D37127" w:rsidP="00D37127">
            <w:pPr>
              <w:pStyle w:val="ListParagraph"/>
              <w:numPr>
                <w:ilvl w:val="0"/>
                <w:numId w:val="13"/>
              </w:numPr>
              <w:rPr>
                <w:lang w:val="en-NZ"/>
              </w:rPr>
            </w:pPr>
            <w:r w:rsidRPr="00FD0FB1">
              <w:rPr>
                <w:lang w:val="en-NZ"/>
              </w:rPr>
              <w:t>Proven ability to undertake analysis in a technology procurement context.</w:t>
            </w:r>
          </w:p>
          <w:p w14:paraId="784C3FAB" w14:textId="77777777" w:rsidR="00D37127" w:rsidRPr="00FD0FB1" w:rsidRDefault="00D37127" w:rsidP="00D37127">
            <w:pPr>
              <w:pStyle w:val="ListParagraph"/>
              <w:numPr>
                <w:ilvl w:val="0"/>
                <w:numId w:val="13"/>
              </w:numPr>
              <w:rPr>
                <w:lang w:val="en-NZ"/>
              </w:rPr>
            </w:pPr>
            <w:r w:rsidRPr="00FD0FB1">
              <w:rPr>
                <w:lang w:val="en-NZ"/>
              </w:rPr>
              <w:t>Proven track record in ICT procurement, contract negotiation and contract management.</w:t>
            </w:r>
          </w:p>
          <w:p w14:paraId="49A230EF" w14:textId="77777777" w:rsidR="00D37127" w:rsidRPr="00FD0FB1" w:rsidRDefault="00D37127" w:rsidP="00D37127">
            <w:pPr>
              <w:rPr>
                <w:b/>
                <w:lang w:val="en-NZ"/>
              </w:rPr>
            </w:pPr>
            <w:r w:rsidRPr="00FD0FB1">
              <w:rPr>
                <w:b/>
                <w:lang w:val="en-NZ"/>
              </w:rPr>
              <w:t>Knowledge:</w:t>
            </w:r>
          </w:p>
          <w:p w14:paraId="24D588A9" w14:textId="77777777" w:rsidR="00D37127" w:rsidRPr="00FD0FB1" w:rsidRDefault="00D37127" w:rsidP="00D37127">
            <w:pPr>
              <w:pStyle w:val="ListParagraph"/>
              <w:numPr>
                <w:ilvl w:val="0"/>
                <w:numId w:val="13"/>
              </w:numPr>
              <w:rPr>
                <w:lang w:val="en-NZ"/>
              </w:rPr>
            </w:pPr>
            <w:r w:rsidRPr="00FD0FB1">
              <w:rPr>
                <w:lang w:val="en-NZ"/>
              </w:rPr>
              <w:t>Strong commercial acumen and a well- developed commercial background.</w:t>
            </w:r>
          </w:p>
          <w:p w14:paraId="47E4C59C" w14:textId="77777777" w:rsidR="00D37127" w:rsidRPr="00FD0FB1" w:rsidRDefault="00D37127" w:rsidP="00D37127">
            <w:pPr>
              <w:pStyle w:val="ListParagraph"/>
              <w:numPr>
                <w:ilvl w:val="0"/>
                <w:numId w:val="13"/>
              </w:numPr>
              <w:rPr>
                <w:lang w:val="en-NZ"/>
              </w:rPr>
            </w:pPr>
            <w:r w:rsidRPr="00FD0FB1">
              <w:rPr>
                <w:lang w:val="en-NZ"/>
              </w:rPr>
              <w:t>Knowledge of and experience working with relevant legislation, public sector requirements, codes, sourcing rules and procurement practice.</w:t>
            </w:r>
          </w:p>
          <w:p w14:paraId="40938B80" w14:textId="77777777" w:rsidR="00D37127" w:rsidRPr="00FD0FB1" w:rsidRDefault="00D37127" w:rsidP="00D37127">
            <w:pPr>
              <w:pStyle w:val="ListParagraph"/>
              <w:numPr>
                <w:ilvl w:val="0"/>
                <w:numId w:val="13"/>
              </w:numPr>
              <w:rPr>
                <w:lang w:val="en-NZ"/>
              </w:rPr>
            </w:pPr>
            <w:r w:rsidRPr="00FD0FB1">
              <w:rPr>
                <w:lang w:val="en-NZ"/>
              </w:rPr>
              <w:t>A good understanding of the ICT industry, particularly in relation to market trends, commercial constructs, products and services, and supplier performance management.</w:t>
            </w:r>
          </w:p>
          <w:p w14:paraId="3543D7EA" w14:textId="77777777" w:rsidR="00D37127" w:rsidRPr="00FD0FB1" w:rsidRDefault="00D37127" w:rsidP="00D37127">
            <w:pPr>
              <w:pStyle w:val="ListParagraph"/>
              <w:numPr>
                <w:ilvl w:val="0"/>
                <w:numId w:val="13"/>
              </w:numPr>
              <w:rPr>
                <w:lang w:val="en-NZ"/>
              </w:rPr>
            </w:pPr>
            <w:r w:rsidRPr="00FD0FB1">
              <w:rPr>
                <w:lang w:val="en-NZ"/>
              </w:rPr>
              <w:t>Able to understand process design, frameworks, and document new processes and process improvements.</w:t>
            </w:r>
          </w:p>
          <w:p w14:paraId="3FCFF92B" w14:textId="5CCBCD30" w:rsidR="00D37127" w:rsidRPr="00FD0FB1" w:rsidRDefault="00D37127" w:rsidP="00D37127">
            <w:pPr>
              <w:pStyle w:val="ListParagraph"/>
              <w:numPr>
                <w:ilvl w:val="0"/>
                <w:numId w:val="13"/>
              </w:numPr>
              <w:rPr>
                <w:lang w:val="en-NZ"/>
              </w:rPr>
            </w:pPr>
            <w:r w:rsidRPr="00FD0FB1">
              <w:rPr>
                <w:lang w:val="en-NZ"/>
              </w:rPr>
              <w:t>An understanding of the machinery of government with the ability to leverage the system to ensure successful outcomes</w:t>
            </w:r>
            <w:r w:rsidR="00E23560">
              <w:rPr>
                <w:lang w:val="en-NZ"/>
              </w:rPr>
              <w:t>.</w:t>
            </w:r>
          </w:p>
          <w:p w14:paraId="06ECF107" w14:textId="1F028C60" w:rsidR="00D37127" w:rsidRPr="00FD0FB1" w:rsidRDefault="00D37127" w:rsidP="00D37127">
            <w:pPr>
              <w:rPr>
                <w:b/>
                <w:lang w:val="en-NZ"/>
              </w:rPr>
            </w:pPr>
            <w:r w:rsidRPr="00FD0FB1">
              <w:rPr>
                <w:b/>
                <w:lang w:val="en-NZ"/>
              </w:rPr>
              <w:t>Skills:</w:t>
            </w:r>
          </w:p>
          <w:p w14:paraId="1851EEF0" w14:textId="77777777" w:rsidR="00D37127" w:rsidRPr="00FD0FB1" w:rsidRDefault="00D37127" w:rsidP="00D37127">
            <w:pPr>
              <w:pStyle w:val="ListParagraph"/>
              <w:numPr>
                <w:ilvl w:val="0"/>
                <w:numId w:val="13"/>
              </w:numPr>
              <w:rPr>
                <w:lang w:val="en-NZ"/>
              </w:rPr>
            </w:pPr>
            <w:r w:rsidRPr="00FD0FB1">
              <w:rPr>
                <w:lang w:val="en-NZ"/>
              </w:rPr>
              <w:t>Excellent negotiation and influencing skills – able to understand points of difference, gains trust quickly, can work through challenging situations to gain a beneficial outcome.</w:t>
            </w:r>
          </w:p>
          <w:p w14:paraId="180B4A19" w14:textId="77777777" w:rsidR="00D37127" w:rsidRPr="00FD0FB1" w:rsidRDefault="00D37127" w:rsidP="00D37127">
            <w:pPr>
              <w:pStyle w:val="ListParagraph"/>
              <w:numPr>
                <w:ilvl w:val="0"/>
                <w:numId w:val="13"/>
              </w:numPr>
              <w:rPr>
                <w:lang w:val="en-NZ"/>
              </w:rPr>
            </w:pPr>
            <w:r w:rsidRPr="00FD0FB1">
              <w:rPr>
                <w:lang w:val="en-NZ"/>
              </w:rPr>
              <w:t>Excellent relationship management skills – able to quickly establish, build and maintain highly effective working relationships both internally and externally.</w:t>
            </w:r>
          </w:p>
          <w:p w14:paraId="2463444C" w14:textId="77777777" w:rsidR="00D37127" w:rsidRPr="00FD0FB1" w:rsidRDefault="00D37127" w:rsidP="00D37127">
            <w:pPr>
              <w:pStyle w:val="ListParagraph"/>
              <w:numPr>
                <w:ilvl w:val="0"/>
                <w:numId w:val="13"/>
              </w:numPr>
              <w:rPr>
                <w:lang w:val="en-NZ"/>
              </w:rPr>
            </w:pPr>
            <w:r w:rsidRPr="00FD0FB1">
              <w:rPr>
                <w:lang w:val="en-NZ"/>
              </w:rPr>
              <w:t>Able to effectively work people from diverse backgrounds, management levels and professional skills.</w:t>
            </w:r>
          </w:p>
          <w:p w14:paraId="60D53AF0" w14:textId="77777777" w:rsidR="00D37127" w:rsidRPr="00FD0FB1" w:rsidRDefault="00D37127" w:rsidP="00D37127">
            <w:pPr>
              <w:pStyle w:val="ListParagraph"/>
              <w:numPr>
                <w:ilvl w:val="0"/>
                <w:numId w:val="13"/>
              </w:numPr>
              <w:rPr>
                <w:lang w:val="en-NZ"/>
              </w:rPr>
            </w:pPr>
            <w:r w:rsidRPr="00FD0FB1">
              <w:rPr>
                <w:lang w:val="en-NZ"/>
              </w:rPr>
              <w:t>Effective problem analysis and solving skills at a level to work through issues of considerable complexity, with the judgement to select and apply/recommend appropriate solutions.</w:t>
            </w:r>
          </w:p>
          <w:p w14:paraId="5BA08573" w14:textId="77777777" w:rsidR="00D37127" w:rsidRPr="00FD0FB1" w:rsidRDefault="00D37127" w:rsidP="00D37127">
            <w:pPr>
              <w:pStyle w:val="ListParagraph"/>
              <w:numPr>
                <w:ilvl w:val="0"/>
                <w:numId w:val="13"/>
              </w:numPr>
              <w:rPr>
                <w:lang w:val="en-NZ"/>
              </w:rPr>
            </w:pPr>
            <w:r w:rsidRPr="00FD0FB1">
              <w:rPr>
                <w:lang w:val="en-NZ"/>
              </w:rPr>
              <w:t>Exceptional communication skills – both oral and written. Able to influence others to achieve outcomes, communicates complex information effectively and at a level appropriate to the audience.</w:t>
            </w:r>
          </w:p>
          <w:p w14:paraId="45DCB6F2" w14:textId="77777777" w:rsidR="00D37127" w:rsidRPr="00FD0FB1" w:rsidRDefault="00D37127" w:rsidP="00D37127">
            <w:pPr>
              <w:pStyle w:val="ListParagraph"/>
              <w:numPr>
                <w:ilvl w:val="0"/>
                <w:numId w:val="13"/>
              </w:numPr>
              <w:rPr>
                <w:lang w:val="en-NZ"/>
              </w:rPr>
            </w:pPr>
            <w:r w:rsidRPr="00FD0FB1">
              <w:rPr>
                <w:lang w:val="en-NZ"/>
              </w:rPr>
              <w:t>Exceptional interpersonal skills – able to quickly adapt to the situation, understands needs of audience.</w:t>
            </w:r>
          </w:p>
          <w:p w14:paraId="587C4FB7" w14:textId="2CD13D96" w:rsidR="00D37127" w:rsidRDefault="00D37127" w:rsidP="00D37127">
            <w:pPr>
              <w:pStyle w:val="ListParagraph"/>
              <w:numPr>
                <w:ilvl w:val="0"/>
                <w:numId w:val="13"/>
              </w:numPr>
              <w:rPr>
                <w:lang w:val="en-NZ"/>
              </w:rPr>
            </w:pPr>
            <w:r w:rsidRPr="00FD0FB1">
              <w:rPr>
                <w:lang w:val="en-NZ"/>
              </w:rPr>
              <w:t>Strategic thinking – able to see big picture, can quickly identify links between different parts of an issue, thinks innovatively and is able to accurately assess/manage risks whilst achieving outcomes.</w:t>
            </w:r>
          </w:p>
          <w:p w14:paraId="630F33AB" w14:textId="77777777" w:rsidR="00CA556C" w:rsidRPr="00FD0FB1" w:rsidRDefault="00CA556C" w:rsidP="00CA556C">
            <w:pPr>
              <w:pStyle w:val="ListParagraph"/>
              <w:numPr>
                <w:ilvl w:val="0"/>
                <w:numId w:val="13"/>
              </w:numPr>
              <w:rPr>
                <w:lang w:val="en-NZ"/>
              </w:rPr>
            </w:pPr>
            <w:r w:rsidRPr="00FD0FB1">
              <w:rPr>
                <w:lang w:val="en-NZ"/>
              </w:rPr>
              <w:t>Are positive and proactive that can be relied on to deliver high quality outcomes without close supervision.</w:t>
            </w:r>
          </w:p>
          <w:p w14:paraId="772EE836" w14:textId="28DE0A39" w:rsidR="00D37127" w:rsidRPr="00FD0FB1" w:rsidRDefault="00D37127" w:rsidP="00D37127">
            <w:pPr>
              <w:rPr>
                <w:b/>
                <w:lang w:val="en-NZ"/>
              </w:rPr>
            </w:pPr>
            <w:r w:rsidRPr="00FD0FB1">
              <w:rPr>
                <w:b/>
                <w:lang w:val="en-NZ"/>
              </w:rPr>
              <w:t>Other requirements:</w:t>
            </w:r>
          </w:p>
          <w:p w14:paraId="0C85A9CD" w14:textId="118B84F4" w:rsidR="00D37127" w:rsidRPr="00FD0FB1" w:rsidRDefault="00D37127" w:rsidP="00CA556C">
            <w:pPr>
              <w:pStyle w:val="ListParagraph"/>
              <w:numPr>
                <w:ilvl w:val="0"/>
                <w:numId w:val="16"/>
              </w:numPr>
              <w:rPr>
                <w:lang w:val="en-NZ"/>
              </w:rPr>
            </w:pPr>
            <w:r w:rsidRPr="00FD0FB1">
              <w:rPr>
                <w:lang w:val="en-NZ"/>
              </w:rPr>
              <w:t>Education and Professional Memberships</w:t>
            </w:r>
            <w:r w:rsidR="00CA556C">
              <w:rPr>
                <w:lang w:val="en-NZ"/>
              </w:rPr>
              <w:t xml:space="preserve">: </w:t>
            </w:r>
            <w:r w:rsidRPr="00FD0FB1">
              <w:rPr>
                <w:lang w:val="en-NZ"/>
              </w:rPr>
              <w:t xml:space="preserve">A </w:t>
            </w:r>
            <w:r w:rsidR="003F5BA8">
              <w:rPr>
                <w:lang w:val="en-NZ"/>
              </w:rPr>
              <w:t>law degree</w:t>
            </w:r>
            <w:r w:rsidRPr="00FD0FB1">
              <w:rPr>
                <w:lang w:val="en-NZ"/>
              </w:rPr>
              <w:t xml:space="preserve"> or equivalent professional experience</w:t>
            </w:r>
            <w:r w:rsidR="00E23560">
              <w:rPr>
                <w:lang w:val="en-NZ"/>
              </w:rPr>
              <w:t>.</w:t>
            </w:r>
          </w:p>
          <w:p w14:paraId="19A030CB" w14:textId="433D3CD1" w:rsidR="00D37127" w:rsidRPr="00CA556C" w:rsidRDefault="00D37127" w:rsidP="00CA556C">
            <w:pPr>
              <w:pStyle w:val="ListParagraph"/>
              <w:numPr>
                <w:ilvl w:val="0"/>
                <w:numId w:val="13"/>
              </w:numPr>
              <w:rPr>
                <w:lang w:val="en-NZ"/>
              </w:rPr>
            </w:pPr>
            <w:r w:rsidRPr="00FD0FB1">
              <w:rPr>
                <w:lang w:val="en-NZ"/>
              </w:rPr>
              <w:t>Able to obtain and maintain a confidential security clearance.</w:t>
            </w:r>
          </w:p>
        </w:tc>
      </w:tr>
    </w:tbl>
    <w:p w14:paraId="1364C391" w14:textId="77777777" w:rsidR="00D37127" w:rsidRPr="00CA556C" w:rsidRDefault="00D37127">
      <w:pPr>
        <w:rPr>
          <w:sz w:val="2"/>
          <w:szCs w:val="2"/>
          <w:lang w:val="en-NZ"/>
        </w:rPr>
      </w:pPr>
    </w:p>
    <w:sectPr w:rsidR="00D37127" w:rsidRPr="00CA556C">
      <w:pgSz w:w="11910" w:h="16850"/>
      <w:pgMar w:top="1020" w:right="900" w:bottom="860" w:left="1020" w:header="506"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8A76C" w14:textId="77777777" w:rsidR="007B52A7" w:rsidRDefault="00A26593">
      <w:r>
        <w:separator/>
      </w:r>
    </w:p>
  </w:endnote>
  <w:endnote w:type="continuationSeparator" w:id="0">
    <w:p w14:paraId="0458A76D" w14:textId="77777777" w:rsidR="007B52A7" w:rsidRDefault="00A2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65D21" w14:textId="16EFD864" w:rsidR="00FF764F" w:rsidRDefault="00FF764F">
    <w:pPr>
      <w:pStyle w:val="Footer"/>
    </w:pPr>
    <w:r>
      <w:rPr>
        <w:noProof/>
        <w:lang w:eastAsia="en-NZ"/>
      </w:rPr>
      <w:drawing>
        <wp:anchor distT="0" distB="0" distL="114300" distR="114300" simplePos="0" relativeHeight="503304856" behindDoc="0" locked="0" layoutInCell="1" allowOverlap="1" wp14:anchorId="0A4D3F69" wp14:editId="508652C5">
          <wp:simplePos x="0" y="0"/>
          <wp:positionH relativeFrom="column">
            <wp:posOffset>4807585</wp:posOffset>
          </wp:positionH>
          <wp:positionV relativeFrom="paragraph">
            <wp:posOffset>-326390</wp:posOffset>
          </wp:positionV>
          <wp:extent cx="2335530" cy="633095"/>
          <wp:effectExtent l="0" t="0" r="0" b="0"/>
          <wp:wrapNone/>
          <wp:docPr id="8" name="Picture 8"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A76F" w14:textId="77777777" w:rsidR="00A771DF" w:rsidRDefault="00DF75ED">
    <w:pPr>
      <w:pStyle w:val="BodyText"/>
      <w:spacing w:line="14" w:lineRule="auto"/>
      <w:rPr>
        <w:sz w:val="20"/>
      </w:rPr>
    </w:pPr>
    <w:r>
      <w:pict w14:anchorId="0458A771">
        <v:shapetype id="_x0000_t202" coordsize="21600,21600" o:spt="202" path="m,l,21600r21600,l21600,xe">
          <v:stroke joinstyle="miter"/>
          <v:path gradientshapeok="t" o:connecttype="rect"/>
        </v:shapetype>
        <v:shape id="_x0000_s2049" type="#_x0000_t202" style="position:absolute;margin-left:492.3pt;margin-top:797.2pt;width:47.4pt;height:12pt;z-index:-13672;mso-position-horizontal-relative:page;mso-position-vertical-relative:page" filled="f" stroked="f">
          <v:textbox style="mso-next-textbox:#_x0000_s2049" inset="0,0,0,0">
            <w:txbxContent>
              <w:p w14:paraId="0458A77A" w14:textId="77777777" w:rsidR="00A771DF" w:rsidRDefault="00A26593">
                <w:pPr>
                  <w:spacing w:line="223" w:lineRule="exact"/>
                  <w:ind w:left="20"/>
                  <w:rPr>
                    <w:i/>
                    <w:sz w:val="20"/>
                  </w:rPr>
                </w:pPr>
                <w:r>
                  <w:rPr>
                    <w:i/>
                    <w:sz w:val="20"/>
                  </w:rPr>
                  <w:t xml:space="preserve">Page </w:t>
                </w:r>
                <w:r>
                  <w:fldChar w:fldCharType="begin"/>
                </w:r>
                <w:r>
                  <w:rPr>
                    <w:i/>
                    <w:sz w:val="20"/>
                  </w:rPr>
                  <w:instrText xml:space="preserve"> PAGE </w:instrText>
                </w:r>
                <w:r>
                  <w:fldChar w:fldCharType="separate"/>
                </w:r>
                <w:r w:rsidR="00FF764F">
                  <w:rPr>
                    <w:i/>
                    <w:noProof/>
                    <w:sz w:val="20"/>
                  </w:rPr>
                  <w:t>6</w:t>
                </w:r>
                <w:r>
                  <w:fldChar w:fldCharType="end"/>
                </w:r>
                <w:r>
                  <w:rPr>
                    <w:i/>
                    <w:sz w:val="20"/>
                  </w:rPr>
                  <w:t xml:space="preserve"> of 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8A76A" w14:textId="77777777" w:rsidR="007B52A7" w:rsidRDefault="00A26593">
      <w:r>
        <w:separator/>
      </w:r>
    </w:p>
  </w:footnote>
  <w:footnote w:type="continuationSeparator" w:id="0">
    <w:p w14:paraId="0458A76B" w14:textId="77777777" w:rsidR="007B52A7" w:rsidRDefault="00A26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A76E" w14:textId="77777777" w:rsidR="00A771DF" w:rsidRDefault="00DF75ED">
    <w:pPr>
      <w:pStyle w:val="BodyText"/>
      <w:spacing w:line="14" w:lineRule="auto"/>
      <w:rPr>
        <w:sz w:val="20"/>
      </w:rPr>
    </w:pPr>
    <w:r>
      <w:pict w14:anchorId="0458A770">
        <v:shapetype id="_x0000_t202" coordsize="21600,21600" o:spt="202" path="m,l,21600r21600,l21600,xe">
          <v:stroke joinstyle="miter"/>
          <v:path gradientshapeok="t" o:connecttype="rect"/>
        </v:shapetype>
        <v:shape id="_x0000_s2050" type="#_x0000_t202" style="position:absolute;margin-left:383.2pt;margin-top:24.3pt;width:156.55pt;height:28.4pt;z-index:-13696;mso-position-horizontal-relative:page;mso-position-vertical-relative:page" filled="f" stroked="f">
          <v:textbox style="mso-next-textbox:#_x0000_s2050" inset="0,0,0,0">
            <w:txbxContent>
              <w:p w14:paraId="0458A778" w14:textId="77777777" w:rsidR="00A771DF" w:rsidRDefault="00A26593">
                <w:pPr>
                  <w:spacing w:line="245" w:lineRule="exact"/>
                  <w:ind w:left="20"/>
                </w:pPr>
                <w:r>
                  <w:rPr>
                    <w:color w:val="808080"/>
                  </w:rPr>
                  <w:t>The Department of Internal Affairs</w:t>
                </w:r>
              </w:p>
              <w:p w14:paraId="0458A779" w14:textId="77777777" w:rsidR="00A771DF" w:rsidRDefault="00A26593">
                <w:pPr>
                  <w:spacing w:before="38"/>
                  <w:ind w:left="1472"/>
                </w:pPr>
                <w:r>
                  <w:rPr>
                    <w:color w:val="808080"/>
                  </w:rPr>
                  <w:t>Te Tari Taiwhenua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0E4D"/>
    <w:multiLevelType w:val="hybridMultilevel"/>
    <w:tmpl w:val="C88419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61C05EC"/>
    <w:multiLevelType w:val="hybridMultilevel"/>
    <w:tmpl w:val="B7A25B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AAD0D9F"/>
    <w:multiLevelType w:val="hybridMultilevel"/>
    <w:tmpl w:val="A28A107E"/>
    <w:lvl w:ilvl="0" w:tplc="14090001">
      <w:start w:val="1"/>
      <w:numFmt w:val="bullet"/>
      <w:lvlText w:val=""/>
      <w:lvlJc w:val="left"/>
      <w:pPr>
        <w:ind w:left="823" w:hanging="360"/>
      </w:pPr>
      <w:rPr>
        <w:rFonts w:ascii="Symbol" w:hAnsi="Symbol" w:hint="default"/>
      </w:rPr>
    </w:lvl>
    <w:lvl w:ilvl="1" w:tplc="14090003" w:tentative="1">
      <w:start w:val="1"/>
      <w:numFmt w:val="bullet"/>
      <w:lvlText w:val="o"/>
      <w:lvlJc w:val="left"/>
      <w:pPr>
        <w:ind w:left="1543" w:hanging="360"/>
      </w:pPr>
      <w:rPr>
        <w:rFonts w:ascii="Courier New" w:hAnsi="Courier New" w:cs="Courier New" w:hint="default"/>
      </w:rPr>
    </w:lvl>
    <w:lvl w:ilvl="2" w:tplc="14090005" w:tentative="1">
      <w:start w:val="1"/>
      <w:numFmt w:val="bullet"/>
      <w:lvlText w:val=""/>
      <w:lvlJc w:val="left"/>
      <w:pPr>
        <w:ind w:left="2263" w:hanging="360"/>
      </w:pPr>
      <w:rPr>
        <w:rFonts w:ascii="Wingdings" w:hAnsi="Wingdings" w:hint="default"/>
      </w:rPr>
    </w:lvl>
    <w:lvl w:ilvl="3" w:tplc="14090001" w:tentative="1">
      <w:start w:val="1"/>
      <w:numFmt w:val="bullet"/>
      <w:lvlText w:val=""/>
      <w:lvlJc w:val="left"/>
      <w:pPr>
        <w:ind w:left="2983" w:hanging="360"/>
      </w:pPr>
      <w:rPr>
        <w:rFonts w:ascii="Symbol" w:hAnsi="Symbol" w:hint="default"/>
      </w:rPr>
    </w:lvl>
    <w:lvl w:ilvl="4" w:tplc="14090003" w:tentative="1">
      <w:start w:val="1"/>
      <w:numFmt w:val="bullet"/>
      <w:lvlText w:val="o"/>
      <w:lvlJc w:val="left"/>
      <w:pPr>
        <w:ind w:left="3703" w:hanging="360"/>
      </w:pPr>
      <w:rPr>
        <w:rFonts w:ascii="Courier New" w:hAnsi="Courier New" w:cs="Courier New" w:hint="default"/>
      </w:rPr>
    </w:lvl>
    <w:lvl w:ilvl="5" w:tplc="14090005" w:tentative="1">
      <w:start w:val="1"/>
      <w:numFmt w:val="bullet"/>
      <w:lvlText w:val=""/>
      <w:lvlJc w:val="left"/>
      <w:pPr>
        <w:ind w:left="4423" w:hanging="360"/>
      </w:pPr>
      <w:rPr>
        <w:rFonts w:ascii="Wingdings" w:hAnsi="Wingdings" w:hint="default"/>
      </w:rPr>
    </w:lvl>
    <w:lvl w:ilvl="6" w:tplc="14090001" w:tentative="1">
      <w:start w:val="1"/>
      <w:numFmt w:val="bullet"/>
      <w:lvlText w:val=""/>
      <w:lvlJc w:val="left"/>
      <w:pPr>
        <w:ind w:left="5143" w:hanging="360"/>
      </w:pPr>
      <w:rPr>
        <w:rFonts w:ascii="Symbol" w:hAnsi="Symbol" w:hint="default"/>
      </w:rPr>
    </w:lvl>
    <w:lvl w:ilvl="7" w:tplc="14090003" w:tentative="1">
      <w:start w:val="1"/>
      <w:numFmt w:val="bullet"/>
      <w:lvlText w:val="o"/>
      <w:lvlJc w:val="left"/>
      <w:pPr>
        <w:ind w:left="5863" w:hanging="360"/>
      </w:pPr>
      <w:rPr>
        <w:rFonts w:ascii="Courier New" w:hAnsi="Courier New" w:cs="Courier New" w:hint="default"/>
      </w:rPr>
    </w:lvl>
    <w:lvl w:ilvl="8" w:tplc="14090005" w:tentative="1">
      <w:start w:val="1"/>
      <w:numFmt w:val="bullet"/>
      <w:lvlText w:val=""/>
      <w:lvlJc w:val="left"/>
      <w:pPr>
        <w:ind w:left="6583" w:hanging="360"/>
      </w:pPr>
      <w:rPr>
        <w:rFonts w:ascii="Wingdings" w:hAnsi="Wingdings" w:hint="default"/>
      </w:rPr>
    </w:lvl>
  </w:abstractNum>
  <w:abstractNum w:abstractNumId="3" w15:restartNumberingAfterBreak="0">
    <w:nsid w:val="217A0581"/>
    <w:multiLevelType w:val="hybridMultilevel"/>
    <w:tmpl w:val="9732CE38"/>
    <w:lvl w:ilvl="0" w:tplc="CE60C976">
      <w:numFmt w:val="bullet"/>
      <w:lvlText w:val=""/>
      <w:lvlJc w:val="left"/>
      <w:pPr>
        <w:ind w:left="823" w:hanging="361"/>
      </w:pPr>
      <w:rPr>
        <w:rFonts w:ascii="Symbol" w:eastAsia="Symbol" w:hAnsi="Symbol" w:cs="Symbol" w:hint="default"/>
        <w:w w:val="100"/>
        <w:sz w:val="24"/>
        <w:szCs w:val="24"/>
      </w:rPr>
    </w:lvl>
    <w:lvl w:ilvl="1" w:tplc="4E8470B0">
      <w:numFmt w:val="bullet"/>
      <w:lvlText w:val="•"/>
      <w:lvlJc w:val="left"/>
      <w:pPr>
        <w:ind w:left="1224" w:hanging="361"/>
      </w:pPr>
      <w:rPr>
        <w:rFonts w:hint="default"/>
      </w:rPr>
    </w:lvl>
    <w:lvl w:ilvl="2" w:tplc="6F00E2BE">
      <w:numFmt w:val="bullet"/>
      <w:lvlText w:val="•"/>
      <w:lvlJc w:val="left"/>
      <w:pPr>
        <w:ind w:left="1628" w:hanging="361"/>
      </w:pPr>
      <w:rPr>
        <w:rFonts w:hint="default"/>
      </w:rPr>
    </w:lvl>
    <w:lvl w:ilvl="3" w:tplc="1BD06504">
      <w:numFmt w:val="bullet"/>
      <w:lvlText w:val="•"/>
      <w:lvlJc w:val="left"/>
      <w:pPr>
        <w:ind w:left="2033" w:hanging="361"/>
      </w:pPr>
      <w:rPr>
        <w:rFonts w:hint="default"/>
      </w:rPr>
    </w:lvl>
    <w:lvl w:ilvl="4" w:tplc="D6E82D6C">
      <w:numFmt w:val="bullet"/>
      <w:lvlText w:val="•"/>
      <w:lvlJc w:val="left"/>
      <w:pPr>
        <w:ind w:left="2437" w:hanging="361"/>
      </w:pPr>
      <w:rPr>
        <w:rFonts w:hint="default"/>
      </w:rPr>
    </w:lvl>
    <w:lvl w:ilvl="5" w:tplc="05969E52">
      <w:numFmt w:val="bullet"/>
      <w:lvlText w:val="•"/>
      <w:lvlJc w:val="left"/>
      <w:pPr>
        <w:ind w:left="2841" w:hanging="361"/>
      </w:pPr>
      <w:rPr>
        <w:rFonts w:hint="default"/>
      </w:rPr>
    </w:lvl>
    <w:lvl w:ilvl="6" w:tplc="2A1E07BE">
      <w:numFmt w:val="bullet"/>
      <w:lvlText w:val="•"/>
      <w:lvlJc w:val="left"/>
      <w:pPr>
        <w:ind w:left="3246" w:hanging="361"/>
      </w:pPr>
      <w:rPr>
        <w:rFonts w:hint="default"/>
      </w:rPr>
    </w:lvl>
    <w:lvl w:ilvl="7" w:tplc="83B08542">
      <w:numFmt w:val="bullet"/>
      <w:lvlText w:val="•"/>
      <w:lvlJc w:val="left"/>
      <w:pPr>
        <w:ind w:left="3650" w:hanging="361"/>
      </w:pPr>
      <w:rPr>
        <w:rFonts w:hint="default"/>
      </w:rPr>
    </w:lvl>
    <w:lvl w:ilvl="8" w:tplc="CD606EFC">
      <w:numFmt w:val="bullet"/>
      <w:lvlText w:val="•"/>
      <w:lvlJc w:val="left"/>
      <w:pPr>
        <w:ind w:left="4054" w:hanging="361"/>
      </w:pPr>
      <w:rPr>
        <w:rFonts w:hint="default"/>
      </w:rPr>
    </w:lvl>
  </w:abstractNum>
  <w:abstractNum w:abstractNumId="4" w15:restartNumberingAfterBreak="0">
    <w:nsid w:val="29C64D67"/>
    <w:multiLevelType w:val="hybridMultilevel"/>
    <w:tmpl w:val="7242A730"/>
    <w:lvl w:ilvl="0" w:tplc="51DAA9A2">
      <w:numFmt w:val="bullet"/>
      <w:lvlText w:val=""/>
      <w:lvlJc w:val="left"/>
      <w:pPr>
        <w:ind w:left="458" w:hanging="358"/>
      </w:pPr>
      <w:rPr>
        <w:rFonts w:ascii="Symbol" w:eastAsia="Symbol" w:hAnsi="Symbol" w:cs="Symbol" w:hint="default"/>
        <w:w w:val="100"/>
        <w:sz w:val="18"/>
        <w:szCs w:val="18"/>
      </w:rPr>
    </w:lvl>
    <w:lvl w:ilvl="1" w:tplc="228E1E86">
      <w:numFmt w:val="bullet"/>
      <w:lvlText w:val="•"/>
      <w:lvlJc w:val="left"/>
      <w:pPr>
        <w:ind w:left="806" w:hanging="358"/>
      </w:pPr>
      <w:rPr>
        <w:rFonts w:hint="default"/>
      </w:rPr>
    </w:lvl>
    <w:lvl w:ilvl="2" w:tplc="450AFB18">
      <w:numFmt w:val="bullet"/>
      <w:lvlText w:val="•"/>
      <w:lvlJc w:val="left"/>
      <w:pPr>
        <w:ind w:left="1152" w:hanging="358"/>
      </w:pPr>
      <w:rPr>
        <w:rFonts w:hint="default"/>
      </w:rPr>
    </w:lvl>
    <w:lvl w:ilvl="3" w:tplc="5846EB62">
      <w:numFmt w:val="bullet"/>
      <w:lvlText w:val="•"/>
      <w:lvlJc w:val="left"/>
      <w:pPr>
        <w:ind w:left="1498" w:hanging="358"/>
      </w:pPr>
      <w:rPr>
        <w:rFonts w:hint="default"/>
      </w:rPr>
    </w:lvl>
    <w:lvl w:ilvl="4" w:tplc="BFAC9BF2">
      <w:numFmt w:val="bullet"/>
      <w:lvlText w:val="•"/>
      <w:lvlJc w:val="left"/>
      <w:pPr>
        <w:ind w:left="1844" w:hanging="358"/>
      </w:pPr>
      <w:rPr>
        <w:rFonts w:hint="default"/>
      </w:rPr>
    </w:lvl>
    <w:lvl w:ilvl="5" w:tplc="2620079C">
      <w:numFmt w:val="bullet"/>
      <w:lvlText w:val="•"/>
      <w:lvlJc w:val="left"/>
      <w:pPr>
        <w:ind w:left="2191" w:hanging="358"/>
      </w:pPr>
      <w:rPr>
        <w:rFonts w:hint="default"/>
      </w:rPr>
    </w:lvl>
    <w:lvl w:ilvl="6" w:tplc="60900316">
      <w:numFmt w:val="bullet"/>
      <w:lvlText w:val="•"/>
      <w:lvlJc w:val="left"/>
      <w:pPr>
        <w:ind w:left="2537" w:hanging="358"/>
      </w:pPr>
      <w:rPr>
        <w:rFonts w:hint="default"/>
      </w:rPr>
    </w:lvl>
    <w:lvl w:ilvl="7" w:tplc="B936FCF4">
      <w:numFmt w:val="bullet"/>
      <w:lvlText w:val="•"/>
      <w:lvlJc w:val="left"/>
      <w:pPr>
        <w:ind w:left="2883" w:hanging="358"/>
      </w:pPr>
      <w:rPr>
        <w:rFonts w:hint="default"/>
      </w:rPr>
    </w:lvl>
    <w:lvl w:ilvl="8" w:tplc="D2F4785C">
      <w:numFmt w:val="bullet"/>
      <w:lvlText w:val="•"/>
      <w:lvlJc w:val="left"/>
      <w:pPr>
        <w:ind w:left="3229" w:hanging="358"/>
      </w:pPr>
      <w:rPr>
        <w:rFonts w:hint="default"/>
      </w:rPr>
    </w:lvl>
  </w:abstractNum>
  <w:abstractNum w:abstractNumId="5" w15:restartNumberingAfterBreak="0">
    <w:nsid w:val="2E63413E"/>
    <w:multiLevelType w:val="hybridMultilevel"/>
    <w:tmpl w:val="46C20776"/>
    <w:lvl w:ilvl="0" w:tplc="AA3E94E4">
      <w:numFmt w:val="bullet"/>
      <w:lvlText w:val=""/>
      <w:lvlJc w:val="left"/>
      <w:pPr>
        <w:ind w:left="823" w:hanging="361"/>
      </w:pPr>
      <w:rPr>
        <w:rFonts w:ascii="Symbol" w:eastAsia="Symbol" w:hAnsi="Symbol" w:cs="Symbol" w:hint="default"/>
        <w:w w:val="100"/>
        <w:sz w:val="24"/>
        <w:szCs w:val="24"/>
      </w:rPr>
    </w:lvl>
    <w:lvl w:ilvl="1" w:tplc="8014E1FC">
      <w:numFmt w:val="bullet"/>
      <w:lvlText w:val="•"/>
      <w:lvlJc w:val="left"/>
      <w:pPr>
        <w:ind w:left="1224" w:hanging="361"/>
      </w:pPr>
      <w:rPr>
        <w:rFonts w:hint="default"/>
      </w:rPr>
    </w:lvl>
    <w:lvl w:ilvl="2" w:tplc="407C4C94">
      <w:numFmt w:val="bullet"/>
      <w:lvlText w:val="•"/>
      <w:lvlJc w:val="left"/>
      <w:pPr>
        <w:ind w:left="1628" w:hanging="361"/>
      </w:pPr>
      <w:rPr>
        <w:rFonts w:hint="default"/>
      </w:rPr>
    </w:lvl>
    <w:lvl w:ilvl="3" w:tplc="2892D7A0">
      <w:numFmt w:val="bullet"/>
      <w:lvlText w:val="•"/>
      <w:lvlJc w:val="left"/>
      <w:pPr>
        <w:ind w:left="2033" w:hanging="361"/>
      </w:pPr>
      <w:rPr>
        <w:rFonts w:hint="default"/>
      </w:rPr>
    </w:lvl>
    <w:lvl w:ilvl="4" w:tplc="D3E48216">
      <w:numFmt w:val="bullet"/>
      <w:lvlText w:val="•"/>
      <w:lvlJc w:val="left"/>
      <w:pPr>
        <w:ind w:left="2437" w:hanging="361"/>
      </w:pPr>
      <w:rPr>
        <w:rFonts w:hint="default"/>
      </w:rPr>
    </w:lvl>
    <w:lvl w:ilvl="5" w:tplc="EE3E6F36">
      <w:numFmt w:val="bullet"/>
      <w:lvlText w:val="•"/>
      <w:lvlJc w:val="left"/>
      <w:pPr>
        <w:ind w:left="2841" w:hanging="361"/>
      </w:pPr>
      <w:rPr>
        <w:rFonts w:hint="default"/>
      </w:rPr>
    </w:lvl>
    <w:lvl w:ilvl="6" w:tplc="F5F6844E">
      <w:numFmt w:val="bullet"/>
      <w:lvlText w:val="•"/>
      <w:lvlJc w:val="left"/>
      <w:pPr>
        <w:ind w:left="3246" w:hanging="361"/>
      </w:pPr>
      <w:rPr>
        <w:rFonts w:hint="default"/>
      </w:rPr>
    </w:lvl>
    <w:lvl w:ilvl="7" w:tplc="14E8555E">
      <w:numFmt w:val="bullet"/>
      <w:lvlText w:val="•"/>
      <w:lvlJc w:val="left"/>
      <w:pPr>
        <w:ind w:left="3650" w:hanging="361"/>
      </w:pPr>
      <w:rPr>
        <w:rFonts w:hint="default"/>
      </w:rPr>
    </w:lvl>
    <w:lvl w:ilvl="8" w:tplc="535C8698">
      <w:numFmt w:val="bullet"/>
      <w:lvlText w:val="•"/>
      <w:lvlJc w:val="left"/>
      <w:pPr>
        <w:ind w:left="4054" w:hanging="361"/>
      </w:pPr>
      <w:rPr>
        <w:rFonts w:hint="default"/>
      </w:rPr>
    </w:lvl>
  </w:abstractNum>
  <w:abstractNum w:abstractNumId="6" w15:restartNumberingAfterBreak="0">
    <w:nsid w:val="306D0C82"/>
    <w:multiLevelType w:val="hybridMultilevel"/>
    <w:tmpl w:val="EF36825A"/>
    <w:lvl w:ilvl="0" w:tplc="1F58E94C">
      <w:numFmt w:val="bullet"/>
      <w:lvlText w:val=""/>
      <w:lvlJc w:val="left"/>
      <w:pPr>
        <w:ind w:left="473" w:hanging="359"/>
      </w:pPr>
      <w:rPr>
        <w:rFonts w:ascii="Symbol" w:eastAsia="Symbol" w:hAnsi="Symbol" w:cs="Symbol" w:hint="default"/>
        <w:w w:val="100"/>
        <w:sz w:val="18"/>
        <w:szCs w:val="18"/>
      </w:rPr>
    </w:lvl>
    <w:lvl w:ilvl="1" w:tplc="9CF022FC">
      <w:numFmt w:val="bullet"/>
      <w:lvlText w:val="•"/>
      <w:lvlJc w:val="left"/>
      <w:pPr>
        <w:ind w:left="1013" w:hanging="359"/>
      </w:pPr>
      <w:rPr>
        <w:rFonts w:hint="default"/>
      </w:rPr>
    </w:lvl>
    <w:lvl w:ilvl="2" w:tplc="8B54758A">
      <w:numFmt w:val="bullet"/>
      <w:lvlText w:val="•"/>
      <w:lvlJc w:val="left"/>
      <w:pPr>
        <w:ind w:left="1546" w:hanging="359"/>
      </w:pPr>
      <w:rPr>
        <w:rFonts w:hint="default"/>
      </w:rPr>
    </w:lvl>
    <w:lvl w:ilvl="3" w:tplc="9544DB88">
      <w:numFmt w:val="bullet"/>
      <w:lvlText w:val="•"/>
      <w:lvlJc w:val="left"/>
      <w:pPr>
        <w:ind w:left="2080" w:hanging="359"/>
      </w:pPr>
      <w:rPr>
        <w:rFonts w:hint="default"/>
      </w:rPr>
    </w:lvl>
    <w:lvl w:ilvl="4" w:tplc="816C94DE">
      <w:numFmt w:val="bullet"/>
      <w:lvlText w:val="•"/>
      <w:lvlJc w:val="left"/>
      <w:pPr>
        <w:ind w:left="2613" w:hanging="359"/>
      </w:pPr>
      <w:rPr>
        <w:rFonts w:hint="default"/>
      </w:rPr>
    </w:lvl>
    <w:lvl w:ilvl="5" w:tplc="897271CA">
      <w:numFmt w:val="bullet"/>
      <w:lvlText w:val="•"/>
      <w:lvlJc w:val="left"/>
      <w:pPr>
        <w:ind w:left="3147" w:hanging="359"/>
      </w:pPr>
      <w:rPr>
        <w:rFonts w:hint="default"/>
      </w:rPr>
    </w:lvl>
    <w:lvl w:ilvl="6" w:tplc="B352C2D6">
      <w:numFmt w:val="bullet"/>
      <w:lvlText w:val="•"/>
      <w:lvlJc w:val="left"/>
      <w:pPr>
        <w:ind w:left="3680" w:hanging="359"/>
      </w:pPr>
      <w:rPr>
        <w:rFonts w:hint="default"/>
      </w:rPr>
    </w:lvl>
    <w:lvl w:ilvl="7" w:tplc="48A0B98E">
      <w:numFmt w:val="bullet"/>
      <w:lvlText w:val="•"/>
      <w:lvlJc w:val="left"/>
      <w:pPr>
        <w:ind w:left="4213" w:hanging="359"/>
      </w:pPr>
      <w:rPr>
        <w:rFonts w:hint="default"/>
      </w:rPr>
    </w:lvl>
    <w:lvl w:ilvl="8" w:tplc="202CA3CE">
      <w:numFmt w:val="bullet"/>
      <w:lvlText w:val="•"/>
      <w:lvlJc w:val="left"/>
      <w:pPr>
        <w:ind w:left="4747" w:hanging="359"/>
      </w:pPr>
      <w:rPr>
        <w:rFonts w:hint="default"/>
      </w:rPr>
    </w:lvl>
  </w:abstractNum>
  <w:abstractNum w:abstractNumId="7" w15:restartNumberingAfterBreak="0">
    <w:nsid w:val="34CB186F"/>
    <w:multiLevelType w:val="hybridMultilevel"/>
    <w:tmpl w:val="FC80499C"/>
    <w:lvl w:ilvl="0" w:tplc="43FC990E">
      <w:numFmt w:val="bullet"/>
      <w:lvlText w:val=""/>
      <w:lvlJc w:val="left"/>
      <w:pPr>
        <w:ind w:left="458" w:hanging="358"/>
      </w:pPr>
      <w:rPr>
        <w:rFonts w:ascii="Symbol" w:eastAsia="Symbol" w:hAnsi="Symbol" w:cs="Symbol" w:hint="default"/>
        <w:w w:val="100"/>
        <w:sz w:val="18"/>
        <w:szCs w:val="18"/>
      </w:rPr>
    </w:lvl>
    <w:lvl w:ilvl="1" w:tplc="46DA752C">
      <w:numFmt w:val="bullet"/>
      <w:lvlText w:val="•"/>
      <w:lvlJc w:val="left"/>
      <w:pPr>
        <w:ind w:left="807" w:hanging="358"/>
      </w:pPr>
      <w:rPr>
        <w:rFonts w:hint="default"/>
      </w:rPr>
    </w:lvl>
    <w:lvl w:ilvl="2" w:tplc="955A0FC8">
      <w:numFmt w:val="bullet"/>
      <w:lvlText w:val="•"/>
      <w:lvlJc w:val="left"/>
      <w:pPr>
        <w:ind w:left="1154" w:hanging="358"/>
      </w:pPr>
      <w:rPr>
        <w:rFonts w:hint="default"/>
      </w:rPr>
    </w:lvl>
    <w:lvl w:ilvl="3" w:tplc="AE267F1A">
      <w:numFmt w:val="bullet"/>
      <w:lvlText w:val="•"/>
      <w:lvlJc w:val="left"/>
      <w:pPr>
        <w:ind w:left="1502" w:hanging="358"/>
      </w:pPr>
      <w:rPr>
        <w:rFonts w:hint="default"/>
      </w:rPr>
    </w:lvl>
    <w:lvl w:ilvl="4" w:tplc="9E442AEC">
      <w:numFmt w:val="bullet"/>
      <w:lvlText w:val="•"/>
      <w:lvlJc w:val="left"/>
      <w:pPr>
        <w:ind w:left="1849" w:hanging="358"/>
      </w:pPr>
      <w:rPr>
        <w:rFonts w:hint="default"/>
      </w:rPr>
    </w:lvl>
    <w:lvl w:ilvl="5" w:tplc="03F29B5E">
      <w:numFmt w:val="bullet"/>
      <w:lvlText w:val="•"/>
      <w:lvlJc w:val="left"/>
      <w:pPr>
        <w:ind w:left="2197" w:hanging="358"/>
      </w:pPr>
      <w:rPr>
        <w:rFonts w:hint="default"/>
      </w:rPr>
    </w:lvl>
    <w:lvl w:ilvl="6" w:tplc="FF66AB8E">
      <w:numFmt w:val="bullet"/>
      <w:lvlText w:val="•"/>
      <w:lvlJc w:val="left"/>
      <w:pPr>
        <w:ind w:left="2544" w:hanging="358"/>
      </w:pPr>
      <w:rPr>
        <w:rFonts w:hint="default"/>
      </w:rPr>
    </w:lvl>
    <w:lvl w:ilvl="7" w:tplc="15BC2E66">
      <w:numFmt w:val="bullet"/>
      <w:lvlText w:val="•"/>
      <w:lvlJc w:val="left"/>
      <w:pPr>
        <w:ind w:left="2891" w:hanging="358"/>
      </w:pPr>
      <w:rPr>
        <w:rFonts w:hint="default"/>
      </w:rPr>
    </w:lvl>
    <w:lvl w:ilvl="8" w:tplc="4E047622">
      <w:numFmt w:val="bullet"/>
      <w:lvlText w:val="•"/>
      <w:lvlJc w:val="left"/>
      <w:pPr>
        <w:ind w:left="3239" w:hanging="358"/>
      </w:pPr>
      <w:rPr>
        <w:rFonts w:hint="default"/>
      </w:rPr>
    </w:lvl>
  </w:abstractNum>
  <w:abstractNum w:abstractNumId="8" w15:restartNumberingAfterBreak="0">
    <w:nsid w:val="3DA75F50"/>
    <w:multiLevelType w:val="hybridMultilevel"/>
    <w:tmpl w:val="8D743724"/>
    <w:lvl w:ilvl="0" w:tplc="D612EB30">
      <w:numFmt w:val="bullet"/>
      <w:lvlText w:val=""/>
      <w:lvlJc w:val="left"/>
      <w:pPr>
        <w:ind w:left="823" w:hanging="361"/>
      </w:pPr>
      <w:rPr>
        <w:rFonts w:ascii="Symbol" w:eastAsia="Symbol" w:hAnsi="Symbol" w:cs="Symbol" w:hint="default"/>
        <w:w w:val="100"/>
        <w:sz w:val="24"/>
        <w:szCs w:val="24"/>
      </w:rPr>
    </w:lvl>
    <w:lvl w:ilvl="1" w:tplc="56D827A0">
      <w:numFmt w:val="bullet"/>
      <w:lvlText w:val="•"/>
      <w:lvlJc w:val="left"/>
      <w:pPr>
        <w:ind w:left="1225" w:hanging="361"/>
      </w:pPr>
      <w:rPr>
        <w:rFonts w:hint="default"/>
      </w:rPr>
    </w:lvl>
    <w:lvl w:ilvl="2" w:tplc="888260EA">
      <w:numFmt w:val="bullet"/>
      <w:lvlText w:val="•"/>
      <w:lvlJc w:val="left"/>
      <w:pPr>
        <w:ind w:left="1631" w:hanging="361"/>
      </w:pPr>
      <w:rPr>
        <w:rFonts w:hint="default"/>
      </w:rPr>
    </w:lvl>
    <w:lvl w:ilvl="3" w:tplc="747C1B6C">
      <w:numFmt w:val="bullet"/>
      <w:lvlText w:val="•"/>
      <w:lvlJc w:val="left"/>
      <w:pPr>
        <w:ind w:left="2036" w:hanging="361"/>
      </w:pPr>
      <w:rPr>
        <w:rFonts w:hint="default"/>
      </w:rPr>
    </w:lvl>
    <w:lvl w:ilvl="4" w:tplc="7FD6D9FE">
      <w:numFmt w:val="bullet"/>
      <w:lvlText w:val="•"/>
      <w:lvlJc w:val="left"/>
      <w:pPr>
        <w:ind w:left="2442" w:hanging="361"/>
      </w:pPr>
      <w:rPr>
        <w:rFonts w:hint="default"/>
      </w:rPr>
    </w:lvl>
    <w:lvl w:ilvl="5" w:tplc="8C0C1F1E">
      <w:numFmt w:val="bullet"/>
      <w:lvlText w:val="•"/>
      <w:lvlJc w:val="left"/>
      <w:pPr>
        <w:ind w:left="2847" w:hanging="361"/>
      </w:pPr>
      <w:rPr>
        <w:rFonts w:hint="default"/>
      </w:rPr>
    </w:lvl>
    <w:lvl w:ilvl="6" w:tplc="431865FA">
      <w:numFmt w:val="bullet"/>
      <w:lvlText w:val="•"/>
      <w:lvlJc w:val="left"/>
      <w:pPr>
        <w:ind w:left="3253" w:hanging="361"/>
      </w:pPr>
      <w:rPr>
        <w:rFonts w:hint="default"/>
      </w:rPr>
    </w:lvl>
    <w:lvl w:ilvl="7" w:tplc="99921758">
      <w:numFmt w:val="bullet"/>
      <w:lvlText w:val="•"/>
      <w:lvlJc w:val="left"/>
      <w:pPr>
        <w:ind w:left="3658" w:hanging="361"/>
      </w:pPr>
      <w:rPr>
        <w:rFonts w:hint="default"/>
      </w:rPr>
    </w:lvl>
    <w:lvl w:ilvl="8" w:tplc="026EA844">
      <w:numFmt w:val="bullet"/>
      <w:lvlText w:val="•"/>
      <w:lvlJc w:val="left"/>
      <w:pPr>
        <w:ind w:left="4064" w:hanging="361"/>
      </w:pPr>
      <w:rPr>
        <w:rFonts w:hint="default"/>
      </w:rPr>
    </w:lvl>
  </w:abstractNum>
  <w:abstractNum w:abstractNumId="9" w15:restartNumberingAfterBreak="0">
    <w:nsid w:val="49AE526B"/>
    <w:multiLevelType w:val="hybridMultilevel"/>
    <w:tmpl w:val="51BE62DA"/>
    <w:lvl w:ilvl="0" w:tplc="D3A045B6">
      <w:numFmt w:val="bullet"/>
      <w:lvlText w:val=""/>
      <w:lvlJc w:val="left"/>
      <w:pPr>
        <w:ind w:left="866" w:hanging="360"/>
      </w:pPr>
      <w:rPr>
        <w:rFonts w:ascii="Symbol" w:eastAsia="Symbol" w:hAnsi="Symbol" w:cs="Symbol" w:hint="default"/>
        <w:w w:val="100"/>
        <w:sz w:val="24"/>
        <w:szCs w:val="24"/>
      </w:rPr>
    </w:lvl>
    <w:lvl w:ilvl="1" w:tplc="D236E71E">
      <w:numFmt w:val="bullet"/>
      <w:lvlText w:val=""/>
      <w:lvlJc w:val="left"/>
      <w:pPr>
        <w:ind w:left="1073" w:hanging="361"/>
      </w:pPr>
      <w:rPr>
        <w:rFonts w:ascii="Symbol" w:eastAsia="Symbol" w:hAnsi="Symbol" w:cs="Symbol" w:hint="default"/>
        <w:color w:val="1F536B"/>
        <w:w w:val="99"/>
        <w:sz w:val="20"/>
        <w:szCs w:val="20"/>
      </w:rPr>
    </w:lvl>
    <w:lvl w:ilvl="2" w:tplc="FB101976">
      <w:numFmt w:val="bullet"/>
      <w:lvlText w:val=""/>
      <w:lvlJc w:val="left"/>
      <w:pPr>
        <w:ind w:left="2314" w:hanging="358"/>
      </w:pPr>
      <w:rPr>
        <w:rFonts w:ascii="Symbol" w:eastAsia="Symbol" w:hAnsi="Symbol" w:cs="Symbol" w:hint="default"/>
        <w:w w:val="100"/>
        <w:sz w:val="18"/>
        <w:szCs w:val="18"/>
      </w:rPr>
    </w:lvl>
    <w:lvl w:ilvl="3" w:tplc="482C51EA">
      <w:numFmt w:val="bullet"/>
      <w:lvlText w:val="•"/>
      <w:lvlJc w:val="left"/>
      <w:pPr>
        <w:ind w:left="3413" w:hanging="358"/>
      </w:pPr>
      <w:rPr>
        <w:rFonts w:hint="default"/>
      </w:rPr>
    </w:lvl>
    <w:lvl w:ilvl="4" w:tplc="CDBAF35C">
      <w:numFmt w:val="bullet"/>
      <w:lvlText w:val="•"/>
      <w:lvlJc w:val="left"/>
      <w:pPr>
        <w:ind w:left="4506" w:hanging="358"/>
      </w:pPr>
      <w:rPr>
        <w:rFonts w:hint="default"/>
      </w:rPr>
    </w:lvl>
    <w:lvl w:ilvl="5" w:tplc="BE2087D0">
      <w:numFmt w:val="bullet"/>
      <w:lvlText w:val="•"/>
      <w:lvlJc w:val="left"/>
      <w:pPr>
        <w:ind w:left="5599" w:hanging="358"/>
      </w:pPr>
      <w:rPr>
        <w:rFonts w:hint="default"/>
      </w:rPr>
    </w:lvl>
    <w:lvl w:ilvl="6" w:tplc="B70843A6">
      <w:numFmt w:val="bullet"/>
      <w:lvlText w:val="•"/>
      <w:lvlJc w:val="left"/>
      <w:pPr>
        <w:ind w:left="6693" w:hanging="358"/>
      </w:pPr>
      <w:rPr>
        <w:rFonts w:hint="default"/>
      </w:rPr>
    </w:lvl>
    <w:lvl w:ilvl="7" w:tplc="87403054">
      <w:numFmt w:val="bullet"/>
      <w:lvlText w:val="•"/>
      <w:lvlJc w:val="left"/>
      <w:pPr>
        <w:ind w:left="7786" w:hanging="358"/>
      </w:pPr>
      <w:rPr>
        <w:rFonts w:hint="default"/>
      </w:rPr>
    </w:lvl>
    <w:lvl w:ilvl="8" w:tplc="5C8CE6B4">
      <w:numFmt w:val="bullet"/>
      <w:lvlText w:val="•"/>
      <w:lvlJc w:val="left"/>
      <w:pPr>
        <w:ind w:left="8879" w:hanging="358"/>
      </w:pPr>
      <w:rPr>
        <w:rFonts w:hint="default"/>
      </w:rPr>
    </w:lvl>
  </w:abstractNum>
  <w:abstractNum w:abstractNumId="10" w15:restartNumberingAfterBreak="0">
    <w:nsid w:val="5C196A43"/>
    <w:multiLevelType w:val="hybridMultilevel"/>
    <w:tmpl w:val="A78C2978"/>
    <w:lvl w:ilvl="0" w:tplc="325AF136">
      <w:numFmt w:val="bullet"/>
      <w:lvlText w:val=""/>
      <w:lvlJc w:val="left"/>
      <w:pPr>
        <w:ind w:left="458" w:hanging="358"/>
      </w:pPr>
      <w:rPr>
        <w:rFonts w:ascii="Symbol" w:eastAsia="Symbol" w:hAnsi="Symbol" w:cs="Symbol" w:hint="default"/>
        <w:w w:val="100"/>
        <w:sz w:val="18"/>
        <w:szCs w:val="18"/>
      </w:rPr>
    </w:lvl>
    <w:lvl w:ilvl="1" w:tplc="316C4668">
      <w:numFmt w:val="bullet"/>
      <w:lvlText w:val="•"/>
      <w:lvlJc w:val="left"/>
      <w:pPr>
        <w:ind w:left="806" w:hanging="358"/>
      </w:pPr>
      <w:rPr>
        <w:rFonts w:hint="default"/>
      </w:rPr>
    </w:lvl>
    <w:lvl w:ilvl="2" w:tplc="78724CE2">
      <w:numFmt w:val="bullet"/>
      <w:lvlText w:val="•"/>
      <w:lvlJc w:val="left"/>
      <w:pPr>
        <w:ind w:left="1152" w:hanging="358"/>
      </w:pPr>
      <w:rPr>
        <w:rFonts w:hint="default"/>
      </w:rPr>
    </w:lvl>
    <w:lvl w:ilvl="3" w:tplc="CAD284A0">
      <w:numFmt w:val="bullet"/>
      <w:lvlText w:val="•"/>
      <w:lvlJc w:val="left"/>
      <w:pPr>
        <w:ind w:left="1498" w:hanging="358"/>
      </w:pPr>
      <w:rPr>
        <w:rFonts w:hint="default"/>
      </w:rPr>
    </w:lvl>
    <w:lvl w:ilvl="4" w:tplc="7CFC52F6">
      <w:numFmt w:val="bullet"/>
      <w:lvlText w:val="•"/>
      <w:lvlJc w:val="left"/>
      <w:pPr>
        <w:ind w:left="1844" w:hanging="358"/>
      </w:pPr>
      <w:rPr>
        <w:rFonts w:hint="default"/>
      </w:rPr>
    </w:lvl>
    <w:lvl w:ilvl="5" w:tplc="3ABEEC76">
      <w:numFmt w:val="bullet"/>
      <w:lvlText w:val="•"/>
      <w:lvlJc w:val="left"/>
      <w:pPr>
        <w:ind w:left="2191" w:hanging="358"/>
      </w:pPr>
      <w:rPr>
        <w:rFonts w:hint="default"/>
      </w:rPr>
    </w:lvl>
    <w:lvl w:ilvl="6" w:tplc="F5B858A8">
      <w:numFmt w:val="bullet"/>
      <w:lvlText w:val="•"/>
      <w:lvlJc w:val="left"/>
      <w:pPr>
        <w:ind w:left="2537" w:hanging="358"/>
      </w:pPr>
      <w:rPr>
        <w:rFonts w:hint="default"/>
      </w:rPr>
    </w:lvl>
    <w:lvl w:ilvl="7" w:tplc="8F52A742">
      <w:numFmt w:val="bullet"/>
      <w:lvlText w:val="•"/>
      <w:lvlJc w:val="left"/>
      <w:pPr>
        <w:ind w:left="2883" w:hanging="358"/>
      </w:pPr>
      <w:rPr>
        <w:rFonts w:hint="default"/>
      </w:rPr>
    </w:lvl>
    <w:lvl w:ilvl="8" w:tplc="27BEE74C">
      <w:numFmt w:val="bullet"/>
      <w:lvlText w:val="•"/>
      <w:lvlJc w:val="left"/>
      <w:pPr>
        <w:ind w:left="3229" w:hanging="358"/>
      </w:pPr>
      <w:rPr>
        <w:rFonts w:hint="default"/>
      </w:rPr>
    </w:lvl>
  </w:abstractNum>
  <w:abstractNum w:abstractNumId="1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12" w15:restartNumberingAfterBreak="0">
    <w:nsid w:val="679F1E35"/>
    <w:multiLevelType w:val="hybridMultilevel"/>
    <w:tmpl w:val="0E16CFEC"/>
    <w:lvl w:ilvl="0" w:tplc="20CEF82A">
      <w:numFmt w:val="bullet"/>
      <w:lvlText w:val=""/>
      <w:lvlJc w:val="left"/>
      <w:pPr>
        <w:ind w:left="458" w:hanging="359"/>
      </w:pPr>
      <w:rPr>
        <w:rFonts w:ascii="Symbol" w:eastAsia="Symbol" w:hAnsi="Symbol" w:cs="Symbol" w:hint="default"/>
        <w:w w:val="100"/>
        <w:sz w:val="18"/>
        <w:szCs w:val="18"/>
      </w:rPr>
    </w:lvl>
    <w:lvl w:ilvl="1" w:tplc="05CA97F6">
      <w:numFmt w:val="bullet"/>
      <w:lvlText w:val="•"/>
      <w:lvlJc w:val="left"/>
      <w:pPr>
        <w:ind w:left="993" w:hanging="359"/>
      </w:pPr>
      <w:rPr>
        <w:rFonts w:hint="default"/>
      </w:rPr>
    </w:lvl>
    <w:lvl w:ilvl="2" w:tplc="5DC6F924">
      <w:numFmt w:val="bullet"/>
      <w:lvlText w:val="•"/>
      <w:lvlJc w:val="left"/>
      <w:pPr>
        <w:ind w:left="1527" w:hanging="359"/>
      </w:pPr>
      <w:rPr>
        <w:rFonts w:hint="default"/>
      </w:rPr>
    </w:lvl>
    <w:lvl w:ilvl="3" w:tplc="61E855EE">
      <w:numFmt w:val="bullet"/>
      <w:lvlText w:val="•"/>
      <w:lvlJc w:val="left"/>
      <w:pPr>
        <w:ind w:left="2061" w:hanging="359"/>
      </w:pPr>
      <w:rPr>
        <w:rFonts w:hint="default"/>
      </w:rPr>
    </w:lvl>
    <w:lvl w:ilvl="4" w:tplc="EAE63912">
      <w:numFmt w:val="bullet"/>
      <w:lvlText w:val="•"/>
      <w:lvlJc w:val="left"/>
      <w:pPr>
        <w:ind w:left="2595" w:hanging="359"/>
      </w:pPr>
      <w:rPr>
        <w:rFonts w:hint="default"/>
      </w:rPr>
    </w:lvl>
    <w:lvl w:ilvl="5" w:tplc="CFEAE962">
      <w:numFmt w:val="bullet"/>
      <w:lvlText w:val="•"/>
      <w:lvlJc w:val="left"/>
      <w:pPr>
        <w:ind w:left="3129" w:hanging="359"/>
      </w:pPr>
      <w:rPr>
        <w:rFonts w:hint="default"/>
      </w:rPr>
    </w:lvl>
    <w:lvl w:ilvl="6" w:tplc="F0B62656">
      <w:numFmt w:val="bullet"/>
      <w:lvlText w:val="•"/>
      <w:lvlJc w:val="left"/>
      <w:pPr>
        <w:ind w:left="3663" w:hanging="359"/>
      </w:pPr>
      <w:rPr>
        <w:rFonts w:hint="default"/>
      </w:rPr>
    </w:lvl>
    <w:lvl w:ilvl="7" w:tplc="FDFC47FC">
      <w:numFmt w:val="bullet"/>
      <w:lvlText w:val="•"/>
      <w:lvlJc w:val="left"/>
      <w:pPr>
        <w:ind w:left="4197" w:hanging="359"/>
      </w:pPr>
      <w:rPr>
        <w:rFonts w:hint="default"/>
      </w:rPr>
    </w:lvl>
    <w:lvl w:ilvl="8" w:tplc="1CC863F6">
      <w:numFmt w:val="bullet"/>
      <w:lvlText w:val="•"/>
      <w:lvlJc w:val="left"/>
      <w:pPr>
        <w:ind w:left="4731" w:hanging="359"/>
      </w:pPr>
      <w:rPr>
        <w:rFonts w:hint="default"/>
      </w:rPr>
    </w:lvl>
  </w:abstractNum>
  <w:abstractNum w:abstractNumId="13" w15:restartNumberingAfterBreak="0">
    <w:nsid w:val="6A9F2001"/>
    <w:multiLevelType w:val="hybridMultilevel"/>
    <w:tmpl w:val="13482E7E"/>
    <w:lvl w:ilvl="0" w:tplc="0464C40C">
      <w:numFmt w:val="bullet"/>
      <w:lvlText w:val=""/>
      <w:lvlJc w:val="left"/>
      <w:pPr>
        <w:ind w:left="458" w:hanging="359"/>
      </w:pPr>
      <w:rPr>
        <w:rFonts w:ascii="Symbol" w:eastAsia="Symbol" w:hAnsi="Symbol" w:cs="Symbol" w:hint="default"/>
        <w:w w:val="100"/>
        <w:sz w:val="18"/>
        <w:szCs w:val="18"/>
      </w:rPr>
    </w:lvl>
    <w:lvl w:ilvl="1" w:tplc="B8F875DA">
      <w:numFmt w:val="bullet"/>
      <w:lvlText w:val="•"/>
      <w:lvlJc w:val="left"/>
      <w:pPr>
        <w:ind w:left="899" w:hanging="359"/>
      </w:pPr>
      <w:rPr>
        <w:rFonts w:hint="default"/>
      </w:rPr>
    </w:lvl>
    <w:lvl w:ilvl="2" w:tplc="B3EA98A8">
      <w:numFmt w:val="bullet"/>
      <w:lvlText w:val="•"/>
      <w:lvlJc w:val="left"/>
      <w:pPr>
        <w:ind w:left="1339" w:hanging="359"/>
      </w:pPr>
      <w:rPr>
        <w:rFonts w:hint="default"/>
      </w:rPr>
    </w:lvl>
    <w:lvl w:ilvl="3" w:tplc="DB666BBC">
      <w:numFmt w:val="bullet"/>
      <w:lvlText w:val="•"/>
      <w:lvlJc w:val="left"/>
      <w:pPr>
        <w:ind w:left="1779" w:hanging="359"/>
      </w:pPr>
      <w:rPr>
        <w:rFonts w:hint="default"/>
      </w:rPr>
    </w:lvl>
    <w:lvl w:ilvl="4" w:tplc="6F103132">
      <w:numFmt w:val="bullet"/>
      <w:lvlText w:val="•"/>
      <w:lvlJc w:val="left"/>
      <w:pPr>
        <w:ind w:left="2219" w:hanging="359"/>
      </w:pPr>
      <w:rPr>
        <w:rFonts w:hint="default"/>
      </w:rPr>
    </w:lvl>
    <w:lvl w:ilvl="5" w:tplc="A23086CE">
      <w:numFmt w:val="bullet"/>
      <w:lvlText w:val="•"/>
      <w:lvlJc w:val="left"/>
      <w:pPr>
        <w:ind w:left="2659" w:hanging="359"/>
      </w:pPr>
      <w:rPr>
        <w:rFonts w:hint="default"/>
      </w:rPr>
    </w:lvl>
    <w:lvl w:ilvl="6" w:tplc="1FCA0940">
      <w:numFmt w:val="bullet"/>
      <w:lvlText w:val="•"/>
      <w:lvlJc w:val="left"/>
      <w:pPr>
        <w:ind w:left="3099" w:hanging="359"/>
      </w:pPr>
      <w:rPr>
        <w:rFonts w:hint="default"/>
      </w:rPr>
    </w:lvl>
    <w:lvl w:ilvl="7" w:tplc="4A18D402">
      <w:numFmt w:val="bullet"/>
      <w:lvlText w:val="•"/>
      <w:lvlJc w:val="left"/>
      <w:pPr>
        <w:ind w:left="3539" w:hanging="359"/>
      </w:pPr>
      <w:rPr>
        <w:rFonts w:hint="default"/>
      </w:rPr>
    </w:lvl>
    <w:lvl w:ilvl="8" w:tplc="C7A0C00E">
      <w:numFmt w:val="bullet"/>
      <w:lvlText w:val="•"/>
      <w:lvlJc w:val="left"/>
      <w:pPr>
        <w:ind w:left="3978" w:hanging="359"/>
      </w:pPr>
      <w:rPr>
        <w:rFonts w:hint="default"/>
      </w:rPr>
    </w:lvl>
  </w:abstractNum>
  <w:abstractNum w:abstractNumId="14" w15:restartNumberingAfterBreak="0">
    <w:nsid w:val="7115096F"/>
    <w:multiLevelType w:val="hybridMultilevel"/>
    <w:tmpl w:val="490A764E"/>
    <w:lvl w:ilvl="0" w:tplc="18A6EB7E">
      <w:numFmt w:val="bullet"/>
      <w:lvlText w:val=""/>
      <w:lvlJc w:val="left"/>
      <w:pPr>
        <w:ind w:left="458" w:hanging="359"/>
      </w:pPr>
      <w:rPr>
        <w:rFonts w:ascii="Symbol" w:eastAsia="Symbol" w:hAnsi="Symbol" w:cs="Symbol" w:hint="default"/>
        <w:w w:val="100"/>
        <w:sz w:val="18"/>
        <w:szCs w:val="18"/>
      </w:rPr>
    </w:lvl>
    <w:lvl w:ilvl="1" w:tplc="C0226B38">
      <w:numFmt w:val="bullet"/>
      <w:lvlText w:val="•"/>
      <w:lvlJc w:val="left"/>
      <w:pPr>
        <w:ind w:left="993" w:hanging="359"/>
      </w:pPr>
      <w:rPr>
        <w:rFonts w:hint="default"/>
      </w:rPr>
    </w:lvl>
    <w:lvl w:ilvl="2" w:tplc="CF3A642E">
      <w:numFmt w:val="bullet"/>
      <w:lvlText w:val="•"/>
      <w:lvlJc w:val="left"/>
      <w:pPr>
        <w:ind w:left="1527" w:hanging="359"/>
      </w:pPr>
      <w:rPr>
        <w:rFonts w:hint="default"/>
      </w:rPr>
    </w:lvl>
    <w:lvl w:ilvl="3" w:tplc="B36CC99A">
      <w:numFmt w:val="bullet"/>
      <w:lvlText w:val="•"/>
      <w:lvlJc w:val="left"/>
      <w:pPr>
        <w:ind w:left="2061" w:hanging="359"/>
      </w:pPr>
      <w:rPr>
        <w:rFonts w:hint="default"/>
      </w:rPr>
    </w:lvl>
    <w:lvl w:ilvl="4" w:tplc="97D6860E">
      <w:numFmt w:val="bullet"/>
      <w:lvlText w:val="•"/>
      <w:lvlJc w:val="left"/>
      <w:pPr>
        <w:ind w:left="2595" w:hanging="359"/>
      </w:pPr>
      <w:rPr>
        <w:rFonts w:hint="default"/>
      </w:rPr>
    </w:lvl>
    <w:lvl w:ilvl="5" w:tplc="55FE837A">
      <w:numFmt w:val="bullet"/>
      <w:lvlText w:val="•"/>
      <w:lvlJc w:val="left"/>
      <w:pPr>
        <w:ind w:left="3129" w:hanging="359"/>
      </w:pPr>
      <w:rPr>
        <w:rFonts w:hint="default"/>
      </w:rPr>
    </w:lvl>
    <w:lvl w:ilvl="6" w:tplc="510A839E">
      <w:numFmt w:val="bullet"/>
      <w:lvlText w:val="•"/>
      <w:lvlJc w:val="left"/>
      <w:pPr>
        <w:ind w:left="3663" w:hanging="359"/>
      </w:pPr>
      <w:rPr>
        <w:rFonts w:hint="default"/>
      </w:rPr>
    </w:lvl>
    <w:lvl w:ilvl="7" w:tplc="B32043E2">
      <w:numFmt w:val="bullet"/>
      <w:lvlText w:val="•"/>
      <w:lvlJc w:val="left"/>
      <w:pPr>
        <w:ind w:left="4197" w:hanging="359"/>
      </w:pPr>
      <w:rPr>
        <w:rFonts w:hint="default"/>
      </w:rPr>
    </w:lvl>
    <w:lvl w:ilvl="8" w:tplc="895AC086">
      <w:numFmt w:val="bullet"/>
      <w:lvlText w:val="•"/>
      <w:lvlJc w:val="left"/>
      <w:pPr>
        <w:ind w:left="4731" w:hanging="359"/>
      </w:pPr>
      <w:rPr>
        <w:rFonts w:hint="default"/>
      </w:rPr>
    </w:lvl>
  </w:abstractNum>
  <w:abstractNum w:abstractNumId="15" w15:restartNumberingAfterBreak="0">
    <w:nsid w:val="735F54D4"/>
    <w:multiLevelType w:val="hybridMultilevel"/>
    <w:tmpl w:val="3036D0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3"/>
  </w:num>
  <w:num w:numId="4">
    <w:abstractNumId w:val="8"/>
  </w:num>
  <w:num w:numId="5">
    <w:abstractNumId w:val="10"/>
  </w:num>
  <w:num w:numId="6">
    <w:abstractNumId w:val="12"/>
  </w:num>
  <w:num w:numId="7">
    <w:abstractNumId w:val="4"/>
  </w:num>
  <w:num w:numId="8">
    <w:abstractNumId w:val="14"/>
  </w:num>
  <w:num w:numId="9">
    <w:abstractNumId w:val="7"/>
  </w:num>
  <w:num w:numId="10">
    <w:abstractNumId w:val="6"/>
  </w:num>
  <w:num w:numId="11">
    <w:abstractNumId w:val="9"/>
  </w:num>
  <w:num w:numId="12">
    <w:abstractNumId w:val="2"/>
  </w:num>
  <w:num w:numId="13">
    <w:abstractNumId w:val="0"/>
  </w:num>
  <w:num w:numId="14">
    <w:abstractNumId w:val="11"/>
  </w:num>
  <w:num w:numId="15">
    <w:abstractNumId w:val="15"/>
  </w:num>
  <w:num w:numId="16">
    <w:abstractNumId w:val="1"/>
  </w:num>
  <w:num w:numId="17">
    <w:abstractNumId w:val="1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771DF"/>
    <w:rsid w:val="00045ED2"/>
    <w:rsid w:val="00066344"/>
    <w:rsid w:val="000D0FFF"/>
    <w:rsid w:val="000F4E17"/>
    <w:rsid w:val="001B76EB"/>
    <w:rsid w:val="00200EFF"/>
    <w:rsid w:val="003F5BA8"/>
    <w:rsid w:val="005A1589"/>
    <w:rsid w:val="007B52A7"/>
    <w:rsid w:val="00A26593"/>
    <w:rsid w:val="00A771DF"/>
    <w:rsid w:val="00B50B14"/>
    <w:rsid w:val="00BF00F4"/>
    <w:rsid w:val="00CA556C"/>
    <w:rsid w:val="00D37127"/>
    <w:rsid w:val="00DF75ED"/>
    <w:rsid w:val="00E23560"/>
    <w:rsid w:val="00E3677C"/>
    <w:rsid w:val="00FB25D4"/>
    <w:rsid w:val="00FD0FB1"/>
    <w:rsid w:val="00FF76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458A64B"/>
  <w15:docId w15:val="{E933FDEE-6A52-4774-8DE0-7FDF5850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31"/>
      <w:ind w:left="146" w:right="321"/>
      <w:outlineLvl w:val="0"/>
    </w:pPr>
    <w:rPr>
      <w:b/>
      <w:bCs/>
      <w:sz w:val="32"/>
      <w:szCs w:val="32"/>
    </w:rPr>
  </w:style>
  <w:style w:type="paragraph" w:styleId="Heading2">
    <w:name w:val="heading 2"/>
    <w:basedOn w:val="Normal"/>
    <w:uiPriority w:val="1"/>
    <w:qFormat/>
    <w:pPr>
      <w:spacing w:before="40"/>
      <w:ind w:left="1073"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8"/>
      <w:ind w:left="2314" w:hanging="358"/>
    </w:pPr>
  </w:style>
  <w:style w:type="paragraph" w:customStyle="1" w:styleId="TableParagraph">
    <w:name w:val="Table Paragraph"/>
    <w:basedOn w:val="Normal"/>
    <w:uiPriority w:val="1"/>
    <w:qFormat/>
    <w:pPr>
      <w:spacing w:before="41"/>
      <w:ind w:left="103"/>
    </w:pPr>
  </w:style>
  <w:style w:type="paragraph" w:styleId="BalloonText">
    <w:name w:val="Balloon Text"/>
    <w:basedOn w:val="Normal"/>
    <w:link w:val="BalloonTextChar"/>
    <w:uiPriority w:val="99"/>
    <w:semiHidden/>
    <w:unhideWhenUsed/>
    <w:rsid w:val="00A26593"/>
    <w:rPr>
      <w:rFonts w:ascii="Tahoma" w:hAnsi="Tahoma" w:cs="Tahoma"/>
      <w:sz w:val="16"/>
      <w:szCs w:val="16"/>
    </w:rPr>
  </w:style>
  <w:style w:type="character" w:customStyle="1" w:styleId="BalloonTextChar">
    <w:name w:val="Balloon Text Char"/>
    <w:basedOn w:val="DefaultParagraphFont"/>
    <w:link w:val="BalloonText"/>
    <w:uiPriority w:val="99"/>
    <w:semiHidden/>
    <w:rsid w:val="00A26593"/>
    <w:rPr>
      <w:rFonts w:ascii="Tahoma" w:eastAsia="Calibri" w:hAnsi="Tahoma" w:cs="Tahoma"/>
      <w:sz w:val="16"/>
      <w:szCs w:val="16"/>
    </w:rPr>
  </w:style>
  <w:style w:type="paragraph" w:styleId="Header">
    <w:name w:val="header"/>
    <w:basedOn w:val="Normal"/>
    <w:link w:val="HeaderChar"/>
    <w:uiPriority w:val="99"/>
    <w:unhideWhenUsed/>
    <w:rsid w:val="00FF764F"/>
    <w:pPr>
      <w:tabs>
        <w:tab w:val="center" w:pos="4513"/>
        <w:tab w:val="right" w:pos="9026"/>
      </w:tabs>
    </w:pPr>
  </w:style>
  <w:style w:type="character" w:customStyle="1" w:styleId="HeaderChar">
    <w:name w:val="Header Char"/>
    <w:basedOn w:val="DefaultParagraphFont"/>
    <w:link w:val="Header"/>
    <w:uiPriority w:val="99"/>
    <w:rsid w:val="00FF764F"/>
    <w:rPr>
      <w:rFonts w:ascii="Calibri" w:eastAsia="Calibri" w:hAnsi="Calibri" w:cs="Calibri"/>
    </w:rPr>
  </w:style>
  <w:style w:type="paragraph" w:styleId="Footer">
    <w:name w:val="footer"/>
    <w:basedOn w:val="Normal"/>
    <w:link w:val="FooterChar"/>
    <w:uiPriority w:val="99"/>
    <w:unhideWhenUsed/>
    <w:rsid w:val="00FF764F"/>
    <w:pPr>
      <w:tabs>
        <w:tab w:val="center" w:pos="4513"/>
        <w:tab w:val="right" w:pos="9026"/>
      </w:tabs>
    </w:pPr>
  </w:style>
  <w:style w:type="character" w:customStyle="1" w:styleId="FooterChar">
    <w:name w:val="Footer Char"/>
    <w:basedOn w:val="DefaultParagraphFont"/>
    <w:link w:val="Footer"/>
    <w:uiPriority w:val="99"/>
    <w:rsid w:val="00FF764F"/>
    <w:rPr>
      <w:rFonts w:ascii="Calibri" w:eastAsia="Calibri" w:hAnsi="Calibri" w:cs="Calibri"/>
    </w:rPr>
  </w:style>
  <w:style w:type="paragraph" w:customStyle="1" w:styleId="Tablebullet">
    <w:name w:val="Table bullet"/>
    <w:basedOn w:val="Tablenormal0"/>
    <w:rsid w:val="001B76EB"/>
    <w:pPr>
      <w:numPr>
        <w:numId w:val="14"/>
      </w:numPr>
    </w:pPr>
  </w:style>
  <w:style w:type="paragraph" w:customStyle="1" w:styleId="Tablebulletlevel2">
    <w:name w:val="Table bullet level 2"/>
    <w:basedOn w:val="Tablenormal0"/>
    <w:uiPriority w:val="99"/>
    <w:semiHidden/>
    <w:rsid w:val="001B76EB"/>
    <w:pPr>
      <w:numPr>
        <w:ilvl w:val="1"/>
        <w:numId w:val="14"/>
      </w:numPr>
    </w:pPr>
  </w:style>
  <w:style w:type="paragraph" w:customStyle="1" w:styleId="TableBulletListLevel3">
    <w:name w:val="Table Bullet List Level 3"/>
    <w:basedOn w:val="Normal"/>
    <w:uiPriority w:val="11"/>
    <w:semiHidden/>
    <w:rsid w:val="001B76EB"/>
    <w:pPr>
      <w:widowControl/>
      <w:numPr>
        <w:ilvl w:val="2"/>
        <w:numId w:val="14"/>
      </w:numPr>
      <w:spacing w:before="60" w:after="60" w:line="260" w:lineRule="atLeast"/>
    </w:pPr>
    <w:rPr>
      <w:rFonts w:eastAsiaTheme="minorHAnsi" w:cs="Times New Roman"/>
      <w:szCs w:val="24"/>
      <w:lang w:val="en-NZ"/>
    </w:rPr>
  </w:style>
  <w:style w:type="paragraph" w:customStyle="1" w:styleId="Tablenormal0">
    <w:name w:val="Table normal"/>
    <w:basedOn w:val="Normal"/>
    <w:qFormat/>
    <w:rsid w:val="001B76EB"/>
    <w:pPr>
      <w:widowControl/>
      <w:spacing w:before="40" w:after="40"/>
    </w:pPr>
    <w:rPr>
      <w:rFonts w:eastAsiaTheme="minorHAnsi" w:cs="Times New Roman"/>
      <w:sz w:val="24"/>
      <w:szCs w:val="24"/>
      <w:lang w:val="en-NZ"/>
    </w:rPr>
  </w:style>
  <w:style w:type="table" w:customStyle="1" w:styleId="Blanktable">
    <w:name w:val="Blank table"/>
    <w:basedOn w:val="TableNormal"/>
    <w:uiPriority w:val="99"/>
    <w:rsid w:val="001B76EB"/>
    <w:pPr>
      <w:widowControl/>
      <w:spacing w:before="120" w:after="120"/>
    </w:pPr>
    <w:rPr>
      <w:rFonts w:ascii="Calibri" w:hAnsi="Calibri" w:cs="Times New Roman"/>
      <w:sz w:val="24"/>
      <w:szCs w:val="24"/>
      <w:lang w:val="en-NZ" w:eastAsia="en-NZ"/>
    </w:rPr>
    <w:tblPr>
      <w:tblInd w:w="108" w:type="dxa"/>
    </w:tblPr>
  </w:style>
  <w:style w:type="paragraph" w:customStyle="1" w:styleId="Tableheading">
    <w:name w:val="Table heading"/>
    <w:basedOn w:val="Normal"/>
    <w:rsid w:val="000D0FFF"/>
    <w:pPr>
      <w:keepNext/>
      <w:widowControl/>
      <w:spacing w:before="80" w:after="80"/>
    </w:pPr>
    <w:rPr>
      <w:rFonts w:eastAsiaTheme="minorHAnsi" w:cs="Times New Roman"/>
      <w:b/>
      <w:color w:val="FFFFFF" w:themeColor="background1"/>
      <w:sz w:val="26"/>
      <w:szCs w:val="24"/>
      <w:lang w:val="en-NZ"/>
    </w:rPr>
  </w:style>
  <w:style w:type="paragraph" w:customStyle="1" w:styleId="Tableverticaltext">
    <w:name w:val="Table vertical text"/>
    <w:basedOn w:val="Normal"/>
    <w:qFormat/>
    <w:rsid w:val="000D0FFF"/>
    <w:pPr>
      <w:widowControl/>
      <w:spacing w:line="228" w:lineRule="auto"/>
      <w:ind w:left="57"/>
      <w:contextualSpacing/>
    </w:pPr>
    <w:rPr>
      <w:rFonts w:cs="Times New Roman"/>
      <w:color w:val="000000" w:themeColor="text1"/>
      <w:szCs w:val="20"/>
      <w:lang w:val="en-NZ"/>
    </w:rPr>
  </w:style>
  <w:style w:type="paragraph" w:customStyle="1" w:styleId="Tablenormalcondensed">
    <w:name w:val="Table normal condensed"/>
    <w:basedOn w:val="Tablenormal0"/>
    <w:qFormat/>
    <w:rsid w:val="000D0FFF"/>
    <w:pPr>
      <w:spacing w:before="20" w:after="20"/>
    </w:pPr>
  </w:style>
  <w:style w:type="character" w:styleId="Hyperlink">
    <w:name w:val="Hyperlink"/>
    <w:uiPriority w:val="99"/>
    <w:rsid w:val="005A1589"/>
    <w:rPr>
      <w:color w:val="1F497D"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ia.govt.nz/diawebsite.nsf/Files/DIA_Profile_Specialist_v7/$file/DIA_Profile_Specialist_v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F8DE1AAB5D524BBB5686D672DC1874" ma:contentTypeVersion="4" ma:contentTypeDescription="Create a new document." ma:contentTypeScope="" ma:versionID="4c12f36a9f021203b93ea8b34e055dc9">
  <xsd:schema xmlns:xsd="http://www.w3.org/2001/XMLSchema" xmlns:xs="http://www.w3.org/2001/XMLSchema" xmlns:p="http://schemas.microsoft.com/office/2006/metadata/properties" xmlns:ns3="2062f480-8b43-4c7c-963f-9e91c402d25e" targetNamespace="http://schemas.microsoft.com/office/2006/metadata/properties" ma:root="true" ma:fieldsID="929a261104f1902889b03fae9e77779a" ns3:_="">
    <xsd:import namespace="2062f480-8b43-4c7c-963f-9e91c402d2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2f480-8b43-4c7c-963f-9e91c402d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E7F37-FCB5-426E-8037-6ABB8D87AF9D}">
  <ds:schemaRefs>
    <ds:schemaRef ds:uri="http://schemas.microsoft.com/sharepoint/v3/contenttype/forms"/>
  </ds:schemaRefs>
</ds:datastoreItem>
</file>

<file path=customXml/itemProps2.xml><?xml version="1.0" encoding="utf-8"?>
<ds:datastoreItem xmlns:ds="http://schemas.openxmlformats.org/officeDocument/2006/customXml" ds:itemID="{BE9D9AA4-3AE5-4F68-B570-25CCCBCC7AA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062f480-8b43-4c7c-963f-9e91c402d25e"/>
    <ds:schemaRef ds:uri="http://www.w3.org/XML/1998/namespace"/>
    <ds:schemaRef ds:uri="http://purl.org/dc/dcmitype/"/>
  </ds:schemaRefs>
</ds:datastoreItem>
</file>

<file path=customXml/itemProps3.xml><?xml version="1.0" encoding="utf-8"?>
<ds:datastoreItem xmlns:ds="http://schemas.openxmlformats.org/officeDocument/2006/customXml" ds:itemID="{BCFA8D6C-6C27-4AE9-A3DC-D514E7A2B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2f480-8b43-4c7c-963f-9e91c402d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BC25AA-933B-44EA-AC2C-3BC3105F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Commercial Contracts Manager</vt:lpstr>
    </vt:vector>
  </TitlesOfParts>
  <Company>Department of Internal Affairs</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Contracts Manager</dc:title>
  <dc:creator>Shae Araci</dc:creator>
  <cp:keywords/>
  <cp:lastModifiedBy>Shae Araci</cp:lastModifiedBy>
  <cp:revision>6</cp:revision>
  <dcterms:created xsi:type="dcterms:W3CDTF">2020-08-17T00:37:00Z</dcterms:created>
  <dcterms:modified xsi:type="dcterms:W3CDTF">2020-09-23T23:03:00Z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2015-12-03T00:00:00Z</vt:filetime>
  </property>
  <property fmtid="{D5CDD505-2E9C-101B-9397-08002B2CF9AE}" pid="3" name="LastSaved">
    <vt:filetime>2017-09-19T00:00:00Z</vt:filetime>
  </property>
  <property fmtid="{D5CDD505-2E9C-101B-9397-08002B2CF9AE}" pid="4" name="ContentTypeId">
    <vt:lpwstr>0x01010050F8DE1AAB5D524BBB5686D672DC1874</vt:lpwstr>
  </property>
  <property fmtid="{D5CDD505-2E9C-101B-9397-08002B2CF9AE}" pid="5" name="DIABusinessUnit">
    <vt:lpwstr>752;#AoG ICT Commercial Services|c83a94a6-342f-470f-bddc-f559e092a695</vt:lpwstr>
  </property>
  <property fmtid="{D5CDD505-2E9C-101B-9397-08002B2CF9AE}" pid="6" name="if0041076d304ad8ac7b8136078c79a0">
    <vt:lpwstr>Correspondence|dcd6b05f-dc80-4336-b228-09aebf3d212c</vt:lpwstr>
  </property>
  <property fmtid="{D5CDD505-2E9C-101B-9397-08002B2CF9AE}" pid="7" name="DIABranch">
    <vt:lpwstr>292;#Digital Public Service (DPS)|2cdb41dd-33af-4c94-9b16-bf8224232b8d</vt:lpwstr>
  </property>
  <property fmtid="{D5CDD505-2E9C-101B-9397-08002B2CF9AE}" pid="8" name="DIABusinessGroup">
    <vt:lpwstr>751;#AoG Services Delivery|20a657bd-a5ab-473f-8ed0-6335a0967419</vt:lpwstr>
  </property>
  <property fmtid="{D5CDD505-2E9C-101B-9397-08002B2CF9AE}" pid="9" name="_dlc_DocIdItemGuid">
    <vt:lpwstr>ea8c7ee2-ab01-47ef-8feb-b42178a09a70</vt:lpwstr>
  </property>
  <property fmtid="{D5CDD505-2E9C-101B-9397-08002B2CF9AE}" pid="10" name="TaxKeyword">
    <vt:lpwstr/>
  </property>
  <property fmtid="{D5CDD505-2E9C-101B-9397-08002B2CF9AE}" pid="11" name="Order">
    <vt:r8>1200</vt:r8>
  </property>
  <property fmtid="{D5CDD505-2E9C-101B-9397-08002B2CF9AE}" pid="12" name="DIAAdministrationDocumentType">
    <vt:lpwstr/>
  </property>
  <property fmtid="{D5CDD505-2E9C-101B-9397-08002B2CF9AE}" pid="13" name="C3Topic">
    <vt:lpwstr/>
  </property>
  <property fmtid="{D5CDD505-2E9C-101B-9397-08002B2CF9AE}" pid="14" name="DIASecurityClassification">
    <vt:lpwstr>1;#UNCLASSIFIED|875d92a8-67e2-4a32-9472-8fe99549e1eb</vt:lpwstr>
  </property>
  <property fmtid="{D5CDD505-2E9C-101B-9397-08002B2CF9AE}" pid="15" name="DIAEmailContentType">
    <vt:lpwstr>4;#Correspondence|dcd6b05f-dc80-4336-b228-09aebf3d212c</vt:lpwstr>
  </property>
  <property fmtid="{D5CDD505-2E9C-101B-9397-08002B2CF9AE}" pid="16" name="k637144f3e274b809739df325940a5b6">
    <vt:lpwstr/>
  </property>
  <property fmtid="{D5CDD505-2E9C-101B-9397-08002B2CF9AE}" pid="17" name="_docset_NoMedatataSyncRequired">
    <vt:lpwstr>False</vt:lpwstr>
  </property>
  <property fmtid="{D5CDD505-2E9C-101B-9397-08002B2CF9AE}" pid="18" name="fa525ba192404975a66fed9c22b2ead5">
    <vt:lpwstr/>
  </property>
  <property fmtid="{D5CDD505-2E9C-101B-9397-08002B2CF9AE}" pid="19" name="DIAMeetingDocumentType">
    <vt:lpwstr/>
  </property>
</Properties>
</file>