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7D8DB" w14:textId="77777777" w:rsidR="001676BD" w:rsidRDefault="00FD60BC" w:rsidP="00466377">
      <w:pPr>
        <w:pStyle w:val="Heading1"/>
      </w:pPr>
      <w:r>
        <w:t>Senior</w:t>
      </w:r>
      <w:r w:rsidR="009B66D4">
        <w:t xml:space="preserve"> Advisor, </w:t>
      </w:r>
      <w:r w:rsidR="00124991">
        <w:t>Resilience and Recovery</w:t>
      </w:r>
    </w:p>
    <w:p w14:paraId="63E7D8DC" w14:textId="2DB3D2F3" w:rsidR="00124991" w:rsidRPr="00124991" w:rsidRDefault="0001130E" w:rsidP="00124991">
      <w:pPr>
        <w:rPr>
          <w:b/>
          <w:color w:val="1F546B" w:themeColor="text2"/>
          <w:sz w:val="36"/>
          <w:szCs w:val="36"/>
        </w:rPr>
      </w:pPr>
      <w:r>
        <w:rPr>
          <w:b/>
          <w:color w:val="1F546B" w:themeColor="text2"/>
          <w:sz w:val="36"/>
          <w:szCs w:val="36"/>
        </w:rPr>
        <w:t>Safety, Security and Risk Team/Information and Safety Group</w:t>
      </w:r>
      <w:r w:rsidR="00124991" w:rsidRPr="00124991">
        <w:rPr>
          <w:b/>
          <w:color w:val="1F546B" w:themeColor="text2"/>
          <w:sz w:val="36"/>
          <w:szCs w:val="36"/>
        </w:rPr>
        <w:t xml:space="preserve">, </w:t>
      </w:r>
      <w:r w:rsidR="00BF4F5E">
        <w:rPr>
          <w:b/>
          <w:color w:val="1F546B" w:themeColor="text2"/>
          <w:sz w:val="36"/>
          <w:szCs w:val="36"/>
        </w:rPr>
        <w:t>Organisational Capability and Services</w:t>
      </w:r>
      <w:r w:rsidR="00124991" w:rsidRPr="00124991">
        <w:rPr>
          <w:b/>
          <w:color w:val="1F546B" w:themeColor="text2"/>
          <w:sz w:val="36"/>
          <w:szCs w:val="36"/>
        </w:rPr>
        <w:t xml:space="preserve"> Branch</w:t>
      </w:r>
    </w:p>
    <w:p w14:paraId="63E7D8DD" w14:textId="3FAB99E0" w:rsidR="0037212A" w:rsidRDefault="00FD60BC" w:rsidP="0037212A">
      <w:pPr>
        <w:rPr>
          <w:szCs w:val="22"/>
        </w:rPr>
      </w:pPr>
      <w:r>
        <w:rPr>
          <w:szCs w:val="22"/>
        </w:rPr>
        <w:t xml:space="preserve">The </w:t>
      </w:r>
      <w:r w:rsidR="00466377">
        <w:rPr>
          <w:szCs w:val="22"/>
        </w:rPr>
        <w:t xml:space="preserve">purpose of </w:t>
      </w:r>
      <w:r w:rsidR="005F0218">
        <w:rPr>
          <w:szCs w:val="22"/>
        </w:rPr>
        <w:t xml:space="preserve">this position </w:t>
      </w:r>
      <w:r w:rsidR="00466377">
        <w:rPr>
          <w:szCs w:val="22"/>
        </w:rPr>
        <w:t>is to</w:t>
      </w:r>
      <w:r w:rsidR="00C1191B">
        <w:rPr>
          <w:szCs w:val="22"/>
        </w:rPr>
        <w:t xml:space="preserve"> provide technical advice on business continuity to Department staff and to support the delivery of the Business Continuity Management (BCM) work programme. This role</w:t>
      </w:r>
      <w:r w:rsidR="00466377">
        <w:rPr>
          <w:szCs w:val="22"/>
        </w:rPr>
        <w:t xml:space="preserve"> support</w:t>
      </w:r>
      <w:r w:rsidR="00C1191B">
        <w:rPr>
          <w:szCs w:val="22"/>
        </w:rPr>
        <w:t>s</w:t>
      </w:r>
      <w:r w:rsidR="00466377">
        <w:rPr>
          <w:szCs w:val="22"/>
        </w:rPr>
        <w:t xml:space="preserve"> the </w:t>
      </w:r>
      <w:r>
        <w:rPr>
          <w:szCs w:val="22"/>
        </w:rPr>
        <w:t>Principal Advisor, Resilience &amp; Recovery</w:t>
      </w:r>
      <w:r w:rsidR="0037212A">
        <w:rPr>
          <w:szCs w:val="22"/>
        </w:rPr>
        <w:t xml:space="preserve"> </w:t>
      </w:r>
      <w:proofErr w:type="gramStart"/>
      <w:r w:rsidR="0037212A">
        <w:rPr>
          <w:szCs w:val="22"/>
        </w:rPr>
        <w:t xml:space="preserve">to </w:t>
      </w:r>
      <w:r w:rsidR="005F0218">
        <w:rPr>
          <w:szCs w:val="22"/>
        </w:rPr>
        <w:t xml:space="preserve"> increase</w:t>
      </w:r>
      <w:proofErr w:type="gramEnd"/>
      <w:r w:rsidR="005F0218">
        <w:rPr>
          <w:szCs w:val="22"/>
        </w:rPr>
        <w:t xml:space="preserve"> organisation res</w:t>
      </w:r>
      <w:r w:rsidR="003130BB">
        <w:rPr>
          <w:szCs w:val="22"/>
        </w:rPr>
        <w:t>ilience</w:t>
      </w:r>
      <w:r w:rsidR="00C1191B">
        <w:rPr>
          <w:szCs w:val="22"/>
        </w:rPr>
        <w:t xml:space="preserve"> and provide</w:t>
      </w:r>
      <w:r w:rsidR="005F0218">
        <w:rPr>
          <w:szCs w:val="22"/>
        </w:rPr>
        <w:t xml:space="preserve"> the ELT with assurance </w:t>
      </w:r>
      <w:r w:rsidR="003130BB">
        <w:rPr>
          <w:szCs w:val="22"/>
        </w:rPr>
        <w:t xml:space="preserve">in our </w:t>
      </w:r>
      <w:r w:rsidR="0037212A">
        <w:rPr>
          <w:szCs w:val="22"/>
        </w:rPr>
        <w:t xml:space="preserve">business continuity framework and </w:t>
      </w:r>
      <w:r w:rsidR="005F0218">
        <w:rPr>
          <w:szCs w:val="22"/>
        </w:rPr>
        <w:t>m</w:t>
      </w:r>
      <w:r w:rsidR="003130BB">
        <w:rPr>
          <w:szCs w:val="22"/>
        </w:rPr>
        <w:t>anagement of business risk.</w:t>
      </w:r>
    </w:p>
    <w:p w14:paraId="63E7D8DE" w14:textId="77777777" w:rsidR="001676BD" w:rsidRPr="005A2652" w:rsidRDefault="001676BD" w:rsidP="00466377">
      <w:pPr>
        <w:pStyle w:val="Bullet"/>
        <w:rPr>
          <w:rStyle w:val="BullethighlightedChar"/>
        </w:rPr>
      </w:pPr>
      <w:r w:rsidRPr="009E40D1">
        <w:rPr>
          <w:rStyle w:val="BullethighlightedChar"/>
        </w:rPr>
        <w:t>Reporting to</w:t>
      </w:r>
      <w:r>
        <w:t>:</w:t>
      </w:r>
      <w:r w:rsidR="00285621">
        <w:t xml:space="preserve"> </w:t>
      </w:r>
      <w:r w:rsidR="00466377">
        <w:tab/>
      </w:r>
      <w:r w:rsidR="00E52865" w:rsidRPr="00797731">
        <w:t xml:space="preserve">Manager </w:t>
      </w:r>
      <w:r w:rsidR="00857463">
        <w:t>S</w:t>
      </w:r>
      <w:r w:rsidR="00124991">
        <w:t>afety</w:t>
      </w:r>
      <w:r w:rsidR="0001130E">
        <w:t>, Security</w:t>
      </w:r>
      <w:r w:rsidR="00124991">
        <w:t xml:space="preserve"> and Risk</w:t>
      </w:r>
    </w:p>
    <w:p w14:paraId="63E7D8DF" w14:textId="77777777" w:rsidR="001676BD" w:rsidRPr="005A2652" w:rsidRDefault="001676BD" w:rsidP="00466377">
      <w:pPr>
        <w:pStyle w:val="Bullethighlighted"/>
        <w:rPr>
          <w:rStyle w:val="BullethighlightedChar"/>
        </w:rPr>
      </w:pPr>
      <w:r w:rsidRPr="00285621">
        <w:t>Location:</w:t>
      </w:r>
      <w:r>
        <w:t xml:space="preserve"> </w:t>
      </w:r>
      <w:r w:rsidR="00466377">
        <w:tab/>
      </w:r>
      <w:r w:rsidR="00466377">
        <w:tab/>
      </w:r>
      <w:r w:rsidR="00102061" w:rsidRPr="0090491B">
        <w:rPr>
          <w:b w:val="0"/>
          <w:color w:val="auto"/>
        </w:rPr>
        <w:t>Wellington</w:t>
      </w:r>
    </w:p>
    <w:p w14:paraId="63E7D8E0" w14:textId="77777777" w:rsidR="001676BD" w:rsidRPr="007575DD" w:rsidRDefault="001C15EE" w:rsidP="00466377">
      <w:pPr>
        <w:pStyle w:val="Bullet"/>
        <w:rPr>
          <w:b/>
        </w:rPr>
      </w:pPr>
      <w:r w:rsidRPr="007575DD">
        <w:rPr>
          <w:rStyle w:val="BullethighlightedChar"/>
        </w:rPr>
        <w:t>Salary range</w:t>
      </w:r>
      <w:r w:rsidRPr="007575DD">
        <w:t>:</w:t>
      </w:r>
      <w:r w:rsidR="00877819" w:rsidRPr="007575DD">
        <w:t xml:space="preserve"> </w:t>
      </w:r>
      <w:r w:rsidR="00466377" w:rsidRPr="007575DD">
        <w:tab/>
      </w:r>
      <w:r w:rsidR="00124991">
        <w:t>Delivery H</w:t>
      </w:r>
    </w:p>
    <w:p w14:paraId="63E7D8E1" w14:textId="77777777" w:rsidR="001676BD" w:rsidRPr="001C15EE" w:rsidRDefault="001676BD" w:rsidP="00466377">
      <w:pPr>
        <w:pStyle w:val="Heading2withoverline"/>
      </w:pPr>
      <w:r w:rsidRPr="00B56D48">
        <w:t>What we do matters</w:t>
      </w:r>
      <w:r>
        <w:t xml:space="preserve"> – o</w:t>
      </w:r>
      <w:r w:rsidRPr="004573F5">
        <w:rPr>
          <w:szCs w:val="32"/>
        </w:rPr>
        <w:t>ur purpose</w:t>
      </w:r>
      <w:bookmarkStart w:id="0" w:name="_GoBack"/>
      <w:bookmarkEnd w:id="0"/>
    </w:p>
    <w:p w14:paraId="63E7D8E2" w14:textId="77777777" w:rsidR="001676BD" w:rsidRPr="00285621" w:rsidRDefault="00BF0C5F" w:rsidP="00466377">
      <w:r w:rsidRPr="00285621">
        <w:t>Our purpose is t</w:t>
      </w:r>
      <w:r w:rsidR="001676BD" w:rsidRPr="00285621">
        <w:t>o serve and connect people, communities and government to build a safe, prosperous and respected nation.</w:t>
      </w:r>
      <w:r w:rsidR="00342283">
        <w:t xml:space="preserve">  </w:t>
      </w:r>
      <w:r w:rsidRPr="00285621">
        <w:t>In other words, it’s all about helping to make New Zealand better for New Zealanders.</w:t>
      </w:r>
    </w:p>
    <w:p w14:paraId="63E7D8E3" w14:textId="77777777" w:rsidR="001676BD" w:rsidRDefault="001676BD" w:rsidP="00466377">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3E7D8E8" w14:textId="77777777" w:rsidTr="006336F1">
        <w:tc>
          <w:tcPr>
            <w:tcW w:w="1701" w:type="dxa"/>
            <w:vMerge w:val="restart"/>
          </w:tcPr>
          <w:p w14:paraId="63E7D8E4" w14:textId="77777777" w:rsidR="0046587F" w:rsidRDefault="0046587F" w:rsidP="00466377">
            <w:pPr>
              <w:pStyle w:val="Tablenormal0"/>
              <w:ind w:left="-108"/>
            </w:pPr>
            <w:r>
              <w:rPr>
                <w:noProof/>
                <w:lang w:eastAsia="en-NZ"/>
              </w:rPr>
              <w:drawing>
                <wp:inline distT="0" distB="0" distL="0" distR="0" wp14:anchorId="63E7D9B1" wp14:editId="63E7D9B2">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63E7D8E5" w14:textId="77777777" w:rsidR="0046587F" w:rsidRPr="00DA62E8" w:rsidRDefault="0046587F" w:rsidP="00466377">
            <w:pPr>
              <w:pStyle w:val="Heading3"/>
            </w:pPr>
            <w:r w:rsidRPr="00DA62E8">
              <w:t xml:space="preserve">We make it easy, we make it work </w:t>
            </w:r>
          </w:p>
          <w:p w14:paraId="63E7D8E6" w14:textId="77777777" w:rsidR="0046587F" w:rsidRPr="00DA62E8" w:rsidRDefault="0046587F" w:rsidP="00466377">
            <w:pPr>
              <w:pStyle w:val="Tablebullet"/>
            </w:pPr>
            <w:r w:rsidRPr="00DA62E8">
              <w:t>Customer centred</w:t>
            </w:r>
          </w:p>
          <w:p w14:paraId="63E7D8E7" w14:textId="77777777" w:rsidR="0046587F" w:rsidRPr="00BF0C5F" w:rsidRDefault="0046587F" w:rsidP="00466377">
            <w:pPr>
              <w:pStyle w:val="Tablebullet"/>
            </w:pPr>
            <w:r w:rsidRPr="00DA62E8">
              <w:t>Make things even better</w:t>
            </w:r>
          </w:p>
        </w:tc>
      </w:tr>
      <w:tr w:rsidR="0046587F" w14:paraId="63E7D8ED" w14:textId="77777777" w:rsidTr="006336F1">
        <w:tc>
          <w:tcPr>
            <w:tcW w:w="1701" w:type="dxa"/>
            <w:vMerge/>
          </w:tcPr>
          <w:p w14:paraId="63E7D8E9" w14:textId="77777777" w:rsidR="0046587F" w:rsidRDefault="0046587F" w:rsidP="00466377">
            <w:pPr>
              <w:pStyle w:val="Tablenormal0"/>
            </w:pPr>
          </w:p>
        </w:tc>
        <w:tc>
          <w:tcPr>
            <w:tcW w:w="8557" w:type="dxa"/>
          </w:tcPr>
          <w:p w14:paraId="63E7D8EA" w14:textId="77777777" w:rsidR="0046587F" w:rsidRPr="005D6013" w:rsidRDefault="0046587F" w:rsidP="00466377">
            <w:pPr>
              <w:pStyle w:val="Heading3"/>
            </w:pPr>
            <w:r w:rsidRPr="005D6013">
              <w:t xml:space="preserve">We’re stronger together </w:t>
            </w:r>
          </w:p>
          <w:p w14:paraId="63E7D8EB" w14:textId="77777777" w:rsidR="0046587F" w:rsidRPr="00DA62E8" w:rsidRDefault="0046587F" w:rsidP="00466377">
            <w:pPr>
              <w:pStyle w:val="Tablebullet"/>
            </w:pPr>
            <w:r w:rsidRPr="00DA62E8">
              <w:t>Work as a team</w:t>
            </w:r>
          </w:p>
          <w:p w14:paraId="63E7D8EC" w14:textId="77777777" w:rsidR="0046587F" w:rsidRPr="00BF0C5F" w:rsidRDefault="0046587F" w:rsidP="00466377">
            <w:pPr>
              <w:pStyle w:val="Tablebullet"/>
            </w:pPr>
            <w:r w:rsidRPr="00DA62E8">
              <w:t>Value each other</w:t>
            </w:r>
          </w:p>
        </w:tc>
      </w:tr>
      <w:tr w:rsidR="0046587F" w14:paraId="63E7D8F2" w14:textId="77777777" w:rsidTr="006336F1">
        <w:tc>
          <w:tcPr>
            <w:tcW w:w="1701" w:type="dxa"/>
            <w:vMerge/>
          </w:tcPr>
          <w:p w14:paraId="63E7D8EE" w14:textId="77777777" w:rsidR="0046587F" w:rsidRDefault="0046587F" w:rsidP="00466377">
            <w:pPr>
              <w:pStyle w:val="Tablenormal0"/>
            </w:pPr>
          </w:p>
        </w:tc>
        <w:tc>
          <w:tcPr>
            <w:tcW w:w="8557" w:type="dxa"/>
          </w:tcPr>
          <w:p w14:paraId="63E7D8EF" w14:textId="77777777" w:rsidR="0046587F" w:rsidRPr="005D6013" w:rsidRDefault="0046587F" w:rsidP="00466377">
            <w:pPr>
              <w:pStyle w:val="Heading3"/>
            </w:pPr>
            <w:r w:rsidRPr="005D6013">
              <w:t xml:space="preserve">We take pride in what we do </w:t>
            </w:r>
          </w:p>
          <w:p w14:paraId="63E7D8F0" w14:textId="77777777" w:rsidR="0046587F" w:rsidRPr="00DA62E8" w:rsidRDefault="0046587F" w:rsidP="00466377">
            <w:pPr>
              <w:pStyle w:val="Tablebullet"/>
            </w:pPr>
            <w:r w:rsidRPr="00DA62E8">
              <w:t>Make a positive difference</w:t>
            </w:r>
          </w:p>
          <w:p w14:paraId="63E7D8F1" w14:textId="77777777" w:rsidR="0046587F" w:rsidRPr="00BF0C5F" w:rsidRDefault="0046587F" w:rsidP="00466377">
            <w:pPr>
              <w:pStyle w:val="Tablebullet"/>
            </w:pPr>
            <w:r w:rsidRPr="00DA62E8">
              <w:t>Strive for excellence</w:t>
            </w:r>
          </w:p>
        </w:tc>
      </w:tr>
    </w:tbl>
    <w:p w14:paraId="63E7D8F3" w14:textId="77777777" w:rsidR="00535DF5" w:rsidRPr="00767FB1" w:rsidRDefault="00535DF5" w:rsidP="00466377">
      <w:pPr>
        <w:pStyle w:val="Heading2withoverline"/>
      </w:pPr>
      <w:r w:rsidRPr="00767FB1">
        <w:t xml:space="preserve">Working </w:t>
      </w:r>
      <w:r w:rsidR="001E3565">
        <w:t xml:space="preserve">effectively </w:t>
      </w:r>
      <w:r w:rsidRPr="00767FB1">
        <w:t xml:space="preserve">with </w:t>
      </w:r>
      <w:r w:rsidRPr="00535DF5">
        <w:t>Māori</w:t>
      </w:r>
    </w:p>
    <w:p w14:paraId="59FFFDB5" w14:textId="77777777" w:rsidR="00C45EB1" w:rsidRDefault="00C45EB1" w:rsidP="00C45EB1">
      <w:r>
        <w:t xml:space="preserve">Te Aka </w:t>
      </w:r>
      <w:proofErr w:type="spellStart"/>
      <w:r>
        <w:t>Taiwhenua</w:t>
      </w:r>
      <w:proofErr w:type="spellEnd"/>
      <w:r>
        <w:t xml:space="preserve"> – our Māori Strategic Framework – enables us to work effectively with Māori. Te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4CB4E2D1" w14:textId="77777777" w:rsidR="00C45EB1" w:rsidRDefault="00C45EB1" w:rsidP="00C45EB1">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w:t>
      </w:r>
      <w:r>
        <w:lastRenderedPageBreak/>
        <w:t xml:space="preserve">agencies.  We accept our privileged role and responsibility of holding and protecting the Treaty of Waitangi / Te </w:t>
      </w:r>
      <w:proofErr w:type="spellStart"/>
      <w:r>
        <w:t>Tiriti</w:t>
      </w:r>
      <w:proofErr w:type="spellEnd"/>
      <w:r>
        <w:t xml:space="preserve"> o Waitangi.</w:t>
      </w: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63E7D8F9" w14:textId="77777777" w:rsidTr="008C0328">
        <w:trPr>
          <w:cantSplit/>
          <w:tblHeader/>
        </w:trPr>
        <w:tc>
          <w:tcPr>
            <w:tcW w:w="5812" w:type="dxa"/>
            <w:tcBorders>
              <w:bottom w:val="nil"/>
              <w:right w:val="single" w:sz="6" w:space="0" w:color="FFFFFF" w:themeColor="background1"/>
            </w:tcBorders>
            <w:shd w:val="clear" w:color="auto" w:fill="1F546B" w:themeFill="text2"/>
          </w:tcPr>
          <w:p w14:paraId="63E7D8F7" w14:textId="77777777" w:rsidR="001C15EE" w:rsidRPr="006B2693" w:rsidRDefault="00BB3B51" w:rsidP="00466377">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63E7D8F8" w14:textId="77777777" w:rsidR="001C15EE" w:rsidRPr="006B2693" w:rsidRDefault="006B2693" w:rsidP="00466377">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63E7D91C" w14:textId="77777777" w:rsidTr="008C0328">
        <w:tc>
          <w:tcPr>
            <w:tcW w:w="5812" w:type="dxa"/>
            <w:tcBorders>
              <w:top w:val="nil"/>
              <w:left w:val="nil"/>
              <w:bottom w:val="single" w:sz="6" w:space="0" w:color="1F546B" w:themeColor="text2"/>
              <w:right w:val="single" w:sz="4" w:space="0" w:color="auto"/>
            </w:tcBorders>
          </w:tcPr>
          <w:p w14:paraId="63E7D8FA" w14:textId="32B80FD7" w:rsidR="000B59F0" w:rsidRPr="00C21193" w:rsidRDefault="000B59F0" w:rsidP="00466377">
            <w:pPr>
              <w:keepNext/>
              <w:rPr>
                <w:b/>
              </w:rPr>
            </w:pPr>
            <w:r>
              <w:rPr>
                <w:b/>
              </w:rPr>
              <w:t xml:space="preserve">BCM </w:t>
            </w:r>
            <w:r w:rsidRPr="00C21193">
              <w:rPr>
                <w:b/>
              </w:rPr>
              <w:t>Frameworks</w:t>
            </w:r>
            <w:r>
              <w:rPr>
                <w:rFonts w:cs="Arial"/>
                <w:szCs w:val="22"/>
              </w:rPr>
              <w:t xml:space="preserve"> </w:t>
            </w:r>
            <w:r w:rsidRPr="00FE607F">
              <w:rPr>
                <w:rFonts w:cs="Arial"/>
                <w:b/>
                <w:szCs w:val="22"/>
              </w:rPr>
              <w:t>and Systems</w:t>
            </w:r>
          </w:p>
          <w:p w14:paraId="63E7D8FB" w14:textId="6F36AEED" w:rsidR="000B59F0" w:rsidRDefault="00C1191B" w:rsidP="002A7BE3">
            <w:pPr>
              <w:numPr>
                <w:ilvl w:val="0"/>
                <w:numId w:val="25"/>
              </w:numPr>
              <w:tabs>
                <w:tab w:val="left" w:pos="900"/>
              </w:tabs>
              <w:spacing w:before="0" w:after="0"/>
              <w:rPr>
                <w:rFonts w:cs="Arial"/>
                <w:szCs w:val="22"/>
              </w:rPr>
            </w:pPr>
            <w:r>
              <w:rPr>
                <w:rFonts w:cs="Arial"/>
                <w:szCs w:val="22"/>
              </w:rPr>
              <w:t xml:space="preserve">Maintain business continuity tools, templates and guidelines to ensure they are “fit for purpose” </w:t>
            </w:r>
          </w:p>
          <w:p w14:paraId="63E7D8FC" w14:textId="1FE1A4DF" w:rsidR="000B59F0" w:rsidRDefault="00466377" w:rsidP="002A7BE3">
            <w:pPr>
              <w:numPr>
                <w:ilvl w:val="0"/>
                <w:numId w:val="25"/>
              </w:numPr>
              <w:tabs>
                <w:tab w:val="left" w:pos="900"/>
              </w:tabs>
              <w:spacing w:before="0" w:after="0"/>
              <w:rPr>
                <w:rFonts w:cs="Arial"/>
                <w:szCs w:val="22"/>
              </w:rPr>
            </w:pPr>
            <w:r>
              <w:rPr>
                <w:rFonts w:cs="Arial"/>
                <w:szCs w:val="22"/>
              </w:rPr>
              <w:t>D</w:t>
            </w:r>
            <w:r w:rsidR="00B17137">
              <w:rPr>
                <w:rFonts w:cs="Arial"/>
                <w:szCs w:val="22"/>
              </w:rPr>
              <w:t>evelop</w:t>
            </w:r>
            <w:r w:rsidR="000B59F0">
              <w:rPr>
                <w:rFonts w:cs="Arial"/>
                <w:szCs w:val="22"/>
              </w:rPr>
              <w:t xml:space="preserve"> measures to gauge the effectiveness of BCM </w:t>
            </w:r>
            <w:r w:rsidR="00C1191B">
              <w:rPr>
                <w:rFonts w:cs="Arial"/>
                <w:szCs w:val="22"/>
              </w:rPr>
              <w:t xml:space="preserve">practice </w:t>
            </w:r>
            <w:r w:rsidR="000B59F0">
              <w:rPr>
                <w:rFonts w:cs="Arial"/>
                <w:szCs w:val="22"/>
              </w:rPr>
              <w:t>a</w:t>
            </w:r>
            <w:r w:rsidR="00B17137">
              <w:rPr>
                <w:rFonts w:cs="Arial"/>
                <w:szCs w:val="22"/>
              </w:rPr>
              <w:t>nd supporting tools, and identify</w:t>
            </w:r>
            <w:r w:rsidR="000B59F0">
              <w:rPr>
                <w:rFonts w:cs="Arial"/>
                <w:szCs w:val="22"/>
              </w:rPr>
              <w:t xml:space="preserve"> any key issues or implications for the way these are used and delivered to stakeholders</w:t>
            </w:r>
          </w:p>
          <w:p w14:paraId="63E7D8FD" w14:textId="379DD701" w:rsidR="000B59F0" w:rsidRDefault="00C1191B" w:rsidP="002A7BE3">
            <w:pPr>
              <w:numPr>
                <w:ilvl w:val="0"/>
                <w:numId w:val="25"/>
              </w:numPr>
              <w:tabs>
                <w:tab w:val="left" w:pos="900"/>
              </w:tabs>
              <w:spacing w:before="0" w:after="0"/>
              <w:rPr>
                <w:rFonts w:cs="Arial"/>
                <w:szCs w:val="22"/>
              </w:rPr>
            </w:pPr>
            <w:r>
              <w:rPr>
                <w:rFonts w:cs="Arial"/>
                <w:szCs w:val="22"/>
              </w:rPr>
              <w:t>Maintain business continuity information on the Department’s intranet page</w:t>
            </w:r>
          </w:p>
          <w:p w14:paraId="63E7D8FE" w14:textId="1D756080" w:rsidR="000B59F0" w:rsidRPr="000175CC" w:rsidRDefault="00C1191B" w:rsidP="002A7BE3">
            <w:pPr>
              <w:numPr>
                <w:ilvl w:val="0"/>
                <w:numId w:val="25"/>
              </w:numPr>
              <w:tabs>
                <w:tab w:val="left" w:pos="900"/>
              </w:tabs>
              <w:spacing w:before="0" w:after="0"/>
              <w:rPr>
                <w:rFonts w:cs="Arial"/>
                <w:szCs w:val="22"/>
              </w:rPr>
            </w:pPr>
            <w:r>
              <w:rPr>
                <w:rFonts w:cs="Arial"/>
                <w:szCs w:val="22"/>
              </w:rPr>
              <w:t xml:space="preserve">Work collaboratively with key internal stakeholders to embed BCM and ensure effective linkages with other related programmes and disciplines </w:t>
            </w:r>
          </w:p>
          <w:p w14:paraId="63E7D907" w14:textId="77777777" w:rsidR="00526599" w:rsidRPr="003D175D" w:rsidRDefault="00526599" w:rsidP="008C0328">
            <w:pPr>
              <w:tabs>
                <w:tab w:val="left" w:pos="900"/>
              </w:tabs>
              <w:spacing w:before="0" w:after="0"/>
              <w:ind w:left="720"/>
            </w:pPr>
          </w:p>
        </w:tc>
        <w:tc>
          <w:tcPr>
            <w:tcW w:w="3935" w:type="dxa"/>
            <w:tcBorders>
              <w:top w:val="nil"/>
              <w:left w:val="single" w:sz="4" w:space="0" w:color="auto"/>
              <w:bottom w:val="single" w:sz="6" w:space="0" w:color="1F546B" w:themeColor="text2"/>
              <w:right w:val="nil"/>
            </w:tcBorders>
          </w:tcPr>
          <w:p w14:paraId="63E7D908" w14:textId="77777777" w:rsidR="00797731" w:rsidRDefault="00797731" w:rsidP="00797731">
            <w:pPr>
              <w:pStyle w:val="Tablebullet"/>
              <w:numPr>
                <w:ilvl w:val="0"/>
                <w:numId w:val="0"/>
              </w:numPr>
              <w:ind w:left="357"/>
            </w:pPr>
          </w:p>
          <w:p w14:paraId="63E7D909" w14:textId="054CDC34" w:rsidR="00F3614E" w:rsidRPr="000B59F0" w:rsidRDefault="003A04AB" w:rsidP="002A7BE3">
            <w:pPr>
              <w:pStyle w:val="Tablebullet"/>
              <w:numPr>
                <w:ilvl w:val="0"/>
                <w:numId w:val="27"/>
              </w:numPr>
            </w:pPr>
            <w:r>
              <w:t>R</w:t>
            </w:r>
            <w:r w:rsidR="00F3614E" w:rsidRPr="000B59F0">
              <w:t xml:space="preserve">obust business continuity </w:t>
            </w:r>
            <w:r w:rsidR="00C1191B">
              <w:t>practices</w:t>
            </w:r>
            <w:r w:rsidR="00F3614E" w:rsidRPr="000B59F0">
              <w:t xml:space="preserve"> </w:t>
            </w:r>
            <w:r w:rsidR="000B59F0" w:rsidRPr="000B59F0">
              <w:t xml:space="preserve">are </w:t>
            </w:r>
            <w:r w:rsidR="00F3614E" w:rsidRPr="000B59F0">
              <w:t>in place and w</w:t>
            </w:r>
            <w:r w:rsidR="000B59F0" w:rsidRPr="000B59F0">
              <w:t xml:space="preserve">orking in DIA – their effectiveness can be </w:t>
            </w:r>
            <w:proofErr w:type="gramStart"/>
            <w:r w:rsidR="000B59F0" w:rsidRPr="000B59F0">
              <w:t>measured</w:t>
            </w:r>
            <w:proofErr w:type="gramEnd"/>
            <w:r w:rsidR="000B59F0" w:rsidRPr="000B59F0">
              <w:t xml:space="preserve"> and they </w:t>
            </w:r>
            <w:r w:rsidR="00F3614E" w:rsidRPr="000B59F0">
              <w:t>suppor</w:t>
            </w:r>
            <w:r w:rsidR="000B59F0" w:rsidRPr="000B59F0">
              <w:t>ted by appropriate practice, process and resources</w:t>
            </w:r>
          </w:p>
          <w:p w14:paraId="63E7D91B" w14:textId="5806B707" w:rsidR="007D3AE6" w:rsidRPr="003D175D" w:rsidRDefault="007D3AE6" w:rsidP="008C0328">
            <w:pPr>
              <w:pStyle w:val="Tablebullet"/>
              <w:numPr>
                <w:ilvl w:val="0"/>
                <w:numId w:val="0"/>
              </w:numPr>
            </w:pPr>
          </w:p>
        </w:tc>
      </w:tr>
      <w:tr w:rsidR="008C0328" w:rsidRPr="003D175D" w14:paraId="3E85B6E6" w14:textId="77777777" w:rsidTr="008C0328">
        <w:tc>
          <w:tcPr>
            <w:tcW w:w="5812" w:type="dxa"/>
            <w:tcBorders>
              <w:top w:val="nil"/>
              <w:left w:val="nil"/>
              <w:bottom w:val="single" w:sz="6" w:space="0" w:color="1F546B" w:themeColor="text2"/>
              <w:right w:val="single" w:sz="4" w:space="0" w:color="auto"/>
            </w:tcBorders>
          </w:tcPr>
          <w:p w14:paraId="7362623F" w14:textId="77777777" w:rsidR="008C0328" w:rsidRDefault="008C0328" w:rsidP="008C0328">
            <w:pPr>
              <w:keepNext/>
              <w:rPr>
                <w:b/>
              </w:rPr>
            </w:pPr>
            <w:r>
              <w:rPr>
                <w:b/>
              </w:rPr>
              <w:t>Business Continuity Advice and Support</w:t>
            </w:r>
          </w:p>
          <w:p w14:paraId="20600A7E" w14:textId="77777777" w:rsidR="008C0328" w:rsidRDefault="008C0328" w:rsidP="008C0328">
            <w:pPr>
              <w:numPr>
                <w:ilvl w:val="0"/>
                <w:numId w:val="25"/>
              </w:numPr>
              <w:tabs>
                <w:tab w:val="left" w:pos="900"/>
              </w:tabs>
              <w:spacing w:before="0" w:after="0"/>
              <w:rPr>
                <w:rFonts w:cs="Arial"/>
                <w:szCs w:val="22"/>
              </w:rPr>
            </w:pPr>
            <w:r>
              <w:rPr>
                <w:rFonts w:cs="Arial"/>
                <w:szCs w:val="22"/>
              </w:rPr>
              <w:t>Work collaboratively with Branch/Group representatives to effectively plan for and respond to disruptions</w:t>
            </w:r>
          </w:p>
          <w:p w14:paraId="1F7F4424" w14:textId="77777777" w:rsidR="008C0328" w:rsidRDefault="008C0328" w:rsidP="008C0328">
            <w:pPr>
              <w:numPr>
                <w:ilvl w:val="0"/>
                <w:numId w:val="25"/>
              </w:numPr>
              <w:tabs>
                <w:tab w:val="left" w:pos="900"/>
              </w:tabs>
              <w:spacing w:before="0" w:after="0"/>
              <w:rPr>
                <w:rFonts w:cs="Arial"/>
                <w:szCs w:val="22"/>
              </w:rPr>
            </w:pPr>
            <w:r>
              <w:rPr>
                <w:rFonts w:cs="Arial"/>
                <w:szCs w:val="22"/>
              </w:rPr>
              <w:t xml:space="preserve">Provide support to Branch/Groups to progress their business continuity planning for priority functions </w:t>
            </w:r>
          </w:p>
          <w:p w14:paraId="7065CDAD" w14:textId="77777777" w:rsidR="008C0328" w:rsidRDefault="008C0328" w:rsidP="008C0328">
            <w:pPr>
              <w:numPr>
                <w:ilvl w:val="0"/>
                <w:numId w:val="25"/>
              </w:numPr>
              <w:tabs>
                <w:tab w:val="left" w:pos="900"/>
              </w:tabs>
              <w:spacing w:before="0" w:after="0"/>
              <w:rPr>
                <w:rFonts w:cs="Arial"/>
                <w:szCs w:val="22"/>
              </w:rPr>
            </w:pPr>
            <w:r>
              <w:rPr>
                <w:rFonts w:cs="Arial"/>
                <w:szCs w:val="22"/>
              </w:rPr>
              <w:t>Provide advice and support on Department-wide business continuity response activity</w:t>
            </w:r>
          </w:p>
          <w:p w14:paraId="0C905352" w14:textId="77777777" w:rsidR="008C0328" w:rsidRDefault="008C0328" w:rsidP="008C0328">
            <w:pPr>
              <w:numPr>
                <w:ilvl w:val="0"/>
                <w:numId w:val="25"/>
              </w:numPr>
              <w:tabs>
                <w:tab w:val="left" w:pos="900"/>
              </w:tabs>
              <w:spacing w:before="0" w:after="0"/>
              <w:rPr>
                <w:rFonts w:cs="Arial"/>
                <w:szCs w:val="22"/>
              </w:rPr>
            </w:pPr>
            <w:r>
              <w:rPr>
                <w:rFonts w:cs="Arial"/>
                <w:szCs w:val="22"/>
              </w:rPr>
              <w:t>Provide consistent, high-quality advice to staff on BCM best practice, the Department’s BCM framework, work programme and associated activities</w:t>
            </w:r>
          </w:p>
          <w:p w14:paraId="17D932CE" w14:textId="77777777" w:rsidR="008C0328" w:rsidRDefault="008C0328" w:rsidP="008C0328">
            <w:pPr>
              <w:numPr>
                <w:ilvl w:val="0"/>
                <w:numId w:val="25"/>
              </w:numPr>
              <w:tabs>
                <w:tab w:val="left" w:pos="900"/>
              </w:tabs>
              <w:spacing w:before="0" w:after="0"/>
              <w:rPr>
                <w:rFonts w:cs="Arial"/>
                <w:szCs w:val="22"/>
              </w:rPr>
            </w:pPr>
            <w:r>
              <w:rPr>
                <w:rFonts w:cs="Arial"/>
                <w:szCs w:val="22"/>
              </w:rPr>
              <w:t>Analyse BCM information in order to form an enterprise-wide and coherent view of the effectiveness of BCM risk management activities and communicate this effectively to governance bodies and business groups</w:t>
            </w:r>
          </w:p>
          <w:p w14:paraId="027EBD4A" w14:textId="77777777" w:rsidR="008C0328" w:rsidRDefault="008C0328" w:rsidP="008C0328">
            <w:pPr>
              <w:numPr>
                <w:ilvl w:val="0"/>
                <w:numId w:val="25"/>
              </w:numPr>
              <w:tabs>
                <w:tab w:val="left" w:pos="900"/>
              </w:tabs>
              <w:spacing w:before="0" w:after="0"/>
              <w:rPr>
                <w:rFonts w:cs="Arial"/>
                <w:szCs w:val="22"/>
              </w:rPr>
            </w:pPr>
            <w:r>
              <w:rPr>
                <w:rFonts w:cs="Arial"/>
                <w:szCs w:val="22"/>
              </w:rPr>
              <w:t xml:space="preserve">Coordinate and provide key input into management and governance reporting </w:t>
            </w:r>
          </w:p>
          <w:p w14:paraId="5330790D" w14:textId="77777777" w:rsidR="008C0328" w:rsidRPr="00C1191B" w:rsidRDefault="008C0328" w:rsidP="008C0328">
            <w:pPr>
              <w:numPr>
                <w:ilvl w:val="0"/>
                <w:numId w:val="25"/>
              </w:numPr>
              <w:tabs>
                <w:tab w:val="left" w:pos="900"/>
              </w:tabs>
              <w:spacing w:before="0" w:after="0"/>
              <w:rPr>
                <w:rFonts w:cs="Arial"/>
                <w:szCs w:val="22"/>
              </w:rPr>
            </w:pPr>
            <w:r>
              <w:rPr>
                <w:rFonts w:cs="Arial"/>
                <w:szCs w:val="22"/>
              </w:rPr>
              <w:t xml:space="preserve">Work collaboratively with key internal stakeholders to ensure effective alignment with education programmes of other related programmes and </w:t>
            </w:r>
            <w:proofErr w:type="spellStart"/>
            <w:r>
              <w:rPr>
                <w:rFonts w:cs="Arial"/>
                <w:szCs w:val="22"/>
              </w:rPr>
              <w:t>disciplines</w:t>
            </w:r>
            <w:r w:rsidRPr="00C1191B">
              <w:rPr>
                <w:rFonts w:cs="Arial"/>
                <w:szCs w:val="22"/>
              </w:rPr>
              <w:t>Coordinate</w:t>
            </w:r>
            <w:proofErr w:type="spellEnd"/>
            <w:r w:rsidRPr="00C1191B">
              <w:rPr>
                <w:rFonts w:cs="Arial"/>
                <w:szCs w:val="22"/>
              </w:rPr>
              <w:t xml:space="preserve"> and assist the flow of information between the central specialist functions (such as ICT DR) and business groups</w:t>
            </w:r>
          </w:p>
          <w:p w14:paraId="42A4D16E" w14:textId="77777777" w:rsidR="008C0328" w:rsidRDefault="008C0328" w:rsidP="00466377">
            <w:pPr>
              <w:keepNext/>
              <w:rPr>
                <w:b/>
              </w:rPr>
            </w:pPr>
          </w:p>
        </w:tc>
        <w:tc>
          <w:tcPr>
            <w:tcW w:w="3935" w:type="dxa"/>
            <w:tcBorders>
              <w:top w:val="nil"/>
              <w:left w:val="single" w:sz="4" w:space="0" w:color="auto"/>
              <w:bottom w:val="single" w:sz="6" w:space="0" w:color="1F546B" w:themeColor="text2"/>
              <w:right w:val="nil"/>
            </w:tcBorders>
          </w:tcPr>
          <w:p w14:paraId="78FD6D48" w14:textId="77777777" w:rsidR="008C0328" w:rsidRDefault="008C0328" w:rsidP="008C0328">
            <w:pPr>
              <w:pStyle w:val="Tablebullet"/>
              <w:numPr>
                <w:ilvl w:val="0"/>
                <w:numId w:val="27"/>
              </w:numPr>
            </w:pPr>
            <w:r>
              <w:t>S</w:t>
            </w:r>
            <w:r w:rsidRPr="00B17137">
              <w:t>trong, collaborative and productive relationships developed across the Department</w:t>
            </w:r>
          </w:p>
          <w:p w14:paraId="2D565C51" w14:textId="77777777" w:rsidR="008C0328" w:rsidRDefault="008C0328" w:rsidP="008C0328">
            <w:pPr>
              <w:pStyle w:val="Tablebullet"/>
              <w:numPr>
                <w:ilvl w:val="0"/>
                <w:numId w:val="27"/>
              </w:numPr>
            </w:pPr>
            <w:r>
              <w:t xml:space="preserve">Areas of risk appropriately identified, mitigated and escalated where necessary </w:t>
            </w:r>
          </w:p>
          <w:p w14:paraId="65205E53" w14:textId="77777777" w:rsidR="008C0328" w:rsidRPr="007D3AE6" w:rsidRDefault="008C0328" w:rsidP="008C0328">
            <w:pPr>
              <w:pStyle w:val="Tablebullet"/>
              <w:numPr>
                <w:ilvl w:val="0"/>
                <w:numId w:val="27"/>
              </w:numPr>
            </w:pPr>
            <w:r>
              <w:t xml:space="preserve">Data analysis providing an </w:t>
            </w:r>
            <w:r>
              <w:rPr>
                <w:rFonts w:cs="Arial"/>
                <w:szCs w:val="22"/>
              </w:rPr>
              <w:t>enterprise-wide and coherent view of the effectiveness of BCM risk management activities</w:t>
            </w:r>
          </w:p>
          <w:p w14:paraId="480337EF" w14:textId="77777777" w:rsidR="008C0328" w:rsidRDefault="008C0328" w:rsidP="00797731">
            <w:pPr>
              <w:pStyle w:val="Tablebullet"/>
              <w:numPr>
                <w:ilvl w:val="0"/>
                <w:numId w:val="0"/>
              </w:numPr>
              <w:ind w:left="357"/>
            </w:pPr>
          </w:p>
        </w:tc>
      </w:tr>
      <w:tr w:rsidR="008C0328" w:rsidRPr="003D175D" w14:paraId="4F91309E" w14:textId="77777777" w:rsidTr="008C0328">
        <w:tc>
          <w:tcPr>
            <w:tcW w:w="5812" w:type="dxa"/>
            <w:tcBorders>
              <w:top w:val="nil"/>
              <w:left w:val="nil"/>
              <w:bottom w:val="single" w:sz="6" w:space="0" w:color="1F546B" w:themeColor="text2"/>
              <w:right w:val="single" w:sz="4" w:space="0" w:color="auto"/>
            </w:tcBorders>
          </w:tcPr>
          <w:p w14:paraId="1BF79C26" w14:textId="77777777" w:rsidR="008C0328" w:rsidRDefault="008C0328" w:rsidP="008C0328">
            <w:pPr>
              <w:tabs>
                <w:tab w:val="left" w:pos="900"/>
              </w:tabs>
              <w:spacing w:before="0" w:after="0"/>
              <w:ind w:left="360"/>
              <w:rPr>
                <w:b/>
              </w:rPr>
            </w:pPr>
            <w:r>
              <w:rPr>
                <w:b/>
              </w:rPr>
              <w:t>Delivery of Business Continuity Work Programme</w:t>
            </w:r>
          </w:p>
          <w:p w14:paraId="052E2C55" w14:textId="77777777" w:rsidR="008C0328" w:rsidRDefault="008C0328" w:rsidP="008C0328">
            <w:pPr>
              <w:numPr>
                <w:ilvl w:val="0"/>
                <w:numId w:val="25"/>
              </w:numPr>
              <w:tabs>
                <w:tab w:val="left" w:pos="900"/>
              </w:tabs>
              <w:spacing w:before="0" w:after="0"/>
              <w:rPr>
                <w:rFonts w:cs="Arial"/>
                <w:szCs w:val="22"/>
              </w:rPr>
            </w:pPr>
            <w:r>
              <w:rPr>
                <w:rFonts w:cs="Arial"/>
                <w:szCs w:val="22"/>
              </w:rPr>
              <w:t>Develop a BC education programme that addresses the differing levels of awareness and training required for staff, managers and those with responsibilities in a response</w:t>
            </w:r>
          </w:p>
          <w:p w14:paraId="57677A24" w14:textId="77777777" w:rsidR="008C0328" w:rsidRDefault="008C0328" w:rsidP="008C0328">
            <w:pPr>
              <w:numPr>
                <w:ilvl w:val="0"/>
                <w:numId w:val="25"/>
              </w:numPr>
              <w:tabs>
                <w:tab w:val="left" w:pos="900"/>
              </w:tabs>
              <w:spacing w:before="0" w:after="0"/>
              <w:rPr>
                <w:rFonts w:cs="Arial"/>
                <w:szCs w:val="22"/>
              </w:rPr>
            </w:pPr>
            <w:r>
              <w:rPr>
                <w:rFonts w:cs="Arial"/>
                <w:szCs w:val="22"/>
              </w:rPr>
              <w:t>Lead assigned BCM work programme projects and activities</w:t>
            </w:r>
          </w:p>
          <w:p w14:paraId="37C598EF" w14:textId="77777777" w:rsidR="008C0328" w:rsidRDefault="008C0328" w:rsidP="008C0328">
            <w:pPr>
              <w:numPr>
                <w:ilvl w:val="0"/>
                <w:numId w:val="25"/>
              </w:numPr>
              <w:tabs>
                <w:tab w:val="left" w:pos="900"/>
              </w:tabs>
              <w:spacing w:before="0" w:after="0"/>
              <w:rPr>
                <w:rFonts w:cs="Arial"/>
                <w:szCs w:val="22"/>
              </w:rPr>
            </w:pPr>
            <w:r>
              <w:rPr>
                <w:rFonts w:cs="Arial"/>
                <w:szCs w:val="22"/>
              </w:rPr>
              <w:t>Track the progress of BCM work programme projects and activities</w:t>
            </w:r>
          </w:p>
          <w:p w14:paraId="3288EB35" w14:textId="77777777" w:rsidR="008C0328" w:rsidRDefault="008C0328" w:rsidP="008C0328">
            <w:pPr>
              <w:pStyle w:val="ListParagraph"/>
              <w:numPr>
                <w:ilvl w:val="0"/>
                <w:numId w:val="25"/>
              </w:numPr>
              <w:spacing w:before="0" w:after="0" w:line="276" w:lineRule="auto"/>
              <w:rPr>
                <w:szCs w:val="22"/>
              </w:rPr>
            </w:pPr>
            <w:r>
              <w:t>Maintain standard operating procedures for business continuity responses</w:t>
            </w:r>
          </w:p>
          <w:p w14:paraId="49B416B0" w14:textId="77777777" w:rsidR="008C0328" w:rsidRDefault="008C0328" w:rsidP="008C0328">
            <w:pPr>
              <w:pStyle w:val="ListParagraph"/>
              <w:numPr>
                <w:ilvl w:val="0"/>
                <w:numId w:val="25"/>
              </w:numPr>
              <w:spacing w:before="0" w:after="0" w:line="276" w:lineRule="auto"/>
              <w:rPr>
                <w:szCs w:val="22"/>
              </w:rPr>
            </w:pPr>
            <w:r>
              <w:rPr>
                <w:szCs w:val="22"/>
              </w:rPr>
              <w:t>Assist in the development and delivery of response training and exercising for business continuity response teams</w:t>
            </w:r>
          </w:p>
          <w:p w14:paraId="1CD72DE3" w14:textId="77777777" w:rsidR="008C0328" w:rsidRPr="002A7BE3" w:rsidRDefault="008C0328" w:rsidP="008C0328">
            <w:pPr>
              <w:numPr>
                <w:ilvl w:val="0"/>
                <w:numId w:val="25"/>
              </w:numPr>
              <w:tabs>
                <w:tab w:val="left" w:pos="900"/>
              </w:tabs>
              <w:spacing w:before="0" w:after="0"/>
              <w:rPr>
                <w:rFonts w:cs="Arial"/>
                <w:szCs w:val="22"/>
              </w:rPr>
            </w:pPr>
            <w:r>
              <w:rPr>
                <w:szCs w:val="22"/>
              </w:rPr>
              <w:t>Identify and develop options for business continuity response outside of Wellington</w:t>
            </w:r>
          </w:p>
          <w:p w14:paraId="3392AC53" w14:textId="77777777" w:rsidR="008C0328" w:rsidRDefault="008C0328" w:rsidP="008C0328">
            <w:pPr>
              <w:keepNext/>
              <w:rPr>
                <w:b/>
              </w:rPr>
            </w:pPr>
          </w:p>
        </w:tc>
        <w:tc>
          <w:tcPr>
            <w:tcW w:w="3935" w:type="dxa"/>
            <w:tcBorders>
              <w:top w:val="nil"/>
              <w:left w:val="single" w:sz="4" w:space="0" w:color="auto"/>
              <w:bottom w:val="single" w:sz="6" w:space="0" w:color="1F546B" w:themeColor="text2"/>
              <w:right w:val="nil"/>
            </w:tcBorders>
          </w:tcPr>
          <w:p w14:paraId="0327A98E" w14:textId="77777777" w:rsidR="008C0328" w:rsidRDefault="008C0328" w:rsidP="008C0328">
            <w:pPr>
              <w:pStyle w:val="Tablebullet"/>
              <w:numPr>
                <w:ilvl w:val="0"/>
                <w:numId w:val="27"/>
              </w:numPr>
            </w:pPr>
            <w:r>
              <w:t>The Department showing steady progression in its BCM maturity and capability</w:t>
            </w:r>
          </w:p>
          <w:p w14:paraId="1CE9C758" w14:textId="77777777" w:rsidR="008C0328" w:rsidRDefault="008C0328" w:rsidP="008C0328">
            <w:pPr>
              <w:pStyle w:val="Tablebullet"/>
              <w:numPr>
                <w:ilvl w:val="0"/>
                <w:numId w:val="0"/>
              </w:numPr>
              <w:ind w:left="360"/>
            </w:pPr>
          </w:p>
        </w:tc>
      </w:tr>
      <w:tr w:rsidR="008C0328" w:rsidRPr="003D175D" w14:paraId="63E7D92D" w14:textId="77777777" w:rsidTr="003D175D">
        <w:trPr>
          <w:cantSplit/>
        </w:trPr>
        <w:tc>
          <w:tcPr>
            <w:tcW w:w="5812" w:type="dxa"/>
            <w:tcBorders>
              <w:top w:val="nil"/>
              <w:left w:val="nil"/>
              <w:bottom w:val="single" w:sz="6" w:space="0" w:color="1F546B" w:themeColor="text2"/>
              <w:right w:val="single" w:sz="6" w:space="0" w:color="1F546B" w:themeColor="text2"/>
            </w:tcBorders>
          </w:tcPr>
          <w:p w14:paraId="34F32CDC" w14:textId="77777777" w:rsidR="008C0328" w:rsidRPr="003D175D" w:rsidRDefault="008C0328" w:rsidP="008C0328">
            <w:pPr>
              <w:pStyle w:val="Tablenormal0"/>
              <w:rPr>
                <w:b/>
                <w:bCs/>
              </w:rPr>
            </w:pPr>
            <w:r>
              <w:rPr>
                <w:b/>
                <w:bCs/>
              </w:rPr>
              <w:t>Health and safety (for self)</w:t>
            </w:r>
          </w:p>
          <w:p w14:paraId="700CB3C2" w14:textId="77777777" w:rsidR="008C0328" w:rsidRDefault="008C0328" w:rsidP="008C0328">
            <w:pPr>
              <w:pStyle w:val="Tablebullet"/>
            </w:pPr>
            <w:r>
              <w:t>Work safely and take responsibility for keeping self and colleagues free from harm</w:t>
            </w:r>
          </w:p>
          <w:p w14:paraId="32591064" w14:textId="77777777" w:rsidR="008C0328" w:rsidRDefault="008C0328" w:rsidP="008C0328">
            <w:pPr>
              <w:pStyle w:val="Tablebullet"/>
            </w:pPr>
            <w:r>
              <w:t>Report all incidents and hazards promptly</w:t>
            </w:r>
          </w:p>
          <w:p w14:paraId="1DD689FF" w14:textId="77777777" w:rsidR="008C0328" w:rsidRDefault="008C0328" w:rsidP="008C0328">
            <w:pPr>
              <w:pStyle w:val="Tablebullet"/>
            </w:pPr>
            <w:r>
              <w:t>Know what to do in the event of an emergency</w:t>
            </w:r>
          </w:p>
          <w:p w14:paraId="63E7D92B" w14:textId="472C45AA" w:rsidR="008C0328" w:rsidRPr="00A229EC" w:rsidRDefault="008C0328" w:rsidP="008C0328">
            <w:pPr>
              <w:pStyle w:val="Tablebullet"/>
              <w:numPr>
                <w:ilvl w:val="0"/>
                <w:numId w:val="0"/>
              </w:numPr>
              <w:ind w:left="357"/>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3E8B4633" w14:textId="77777777" w:rsidR="008C0328" w:rsidRDefault="008C0328" w:rsidP="008C0328">
            <w:pPr>
              <w:pStyle w:val="Tablebullet"/>
            </w:pPr>
            <w:r w:rsidRPr="009161CB">
              <w:t>A safe and health</w:t>
            </w:r>
            <w:r>
              <w:t>y</w:t>
            </w:r>
            <w:r w:rsidRPr="009161CB">
              <w:t xml:space="preserve"> workplace for all people using our sites as a place of work.</w:t>
            </w:r>
          </w:p>
          <w:p w14:paraId="63E7D92C" w14:textId="0879723D" w:rsidR="008C0328" w:rsidRPr="007D3AE6" w:rsidRDefault="008C0328" w:rsidP="008C0328">
            <w:pPr>
              <w:pStyle w:val="Tablebullet"/>
            </w:pPr>
            <w:r w:rsidRPr="006B2693">
              <w:t>Health and</w:t>
            </w:r>
            <w:r>
              <w:t xml:space="preserve"> safety guidelines are followed</w:t>
            </w:r>
          </w:p>
        </w:tc>
      </w:tr>
    </w:tbl>
    <w:p w14:paraId="63E7D92E" w14:textId="77777777" w:rsidR="00285621" w:rsidRDefault="00285621" w:rsidP="00466377">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3739"/>
        <w:gridCol w:w="969"/>
        <w:gridCol w:w="651"/>
        <w:gridCol w:w="652"/>
        <w:gridCol w:w="652"/>
        <w:gridCol w:w="651"/>
        <w:gridCol w:w="652"/>
        <w:gridCol w:w="652"/>
      </w:tblGrid>
      <w:tr w:rsidR="006B2693" w:rsidRPr="00267EDC" w14:paraId="63E7D937" w14:textId="77777777" w:rsidTr="008C0328">
        <w:trPr>
          <w:trHeight w:val="737"/>
          <w:tblHeader/>
        </w:trPr>
        <w:tc>
          <w:tcPr>
            <w:tcW w:w="5842" w:type="dxa"/>
            <w:gridSpan w:val="3"/>
            <w:tcBorders>
              <w:bottom w:val="single" w:sz="6" w:space="0" w:color="1F546B" w:themeColor="text2"/>
            </w:tcBorders>
          </w:tcPr>
          <w:p w14:paraId="63E7D92F" w14:textId="77777777" w:rsidR="006B2693" w:rsidRPr="00267EDC" w:rsidRDefault="006B2693" w:rsidP="00466377"/>
        </w:tc>
        <w:tc>
          <w:tcPr>
            <w:tcW w:w="651" w:type="dxa"/>
            <w:vMerge w:val="restart"/>
            <w:tcBorders>
              <w:bottom w:val="single" w:sz="6" w:space="0" w:color="1F546B" w:themeColor="text2"/>
            </w:tcBorders>
            <w:textDirection w:val="btLr"/>
            <w:vAlign w:val="center"/>
          </w:tcPr>
          <w:p w14:paraId="63E7D930" w14:textId="77777777" w:rsidR="006B2693" w:rsidRPr="00267EDC" w:rsidRDefault="006B2693" w:rsidP="00466377">
            <w:pPr>
              <w:pStyle w:val="Tableverticaltext"/>
            </w:pPr>
            <w:r w:rsidRPr="00267EDC">
              <w:t>Advise</w:t>
            </w:r>
          </w:p>
        </w:tc>
        <w:tc>
          <w:tcPr>
            <w:tcW w:w="652" w:type="dxa"/>
            <w:vMerge w:val="restart"/>
            <w:tcBorders>
              <w:bottom w:val="single" w:sz="6" w:space="0" w:color="1F546B" w:themeColor="text2"/>
            </w:tcBorders>
            <w:textDirection w:val="btLr"/>
            <w:vAlign w:val="center"/>
          </w:tcPr>
          <w:p w14:paraId="63E7D931" w14:textId="77777777" w:rsidR="006B2693" w:rsidRPr="00267EDC" w:rsidRDefault="006B2693" w:rsidP="00466377">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63E7D932" w14:textId="77777777" w:rsidR="006B2693" w:rsidRPr="00267EDC" w:rsidRDefault="006B2693" w:rsidP="00466377">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63E7D933" w14:textId="77777777" w:rsidR="006B2693" w:rsidRPr="00267EDC" w:rsidRDefault="006B2693" w:rsidP="00466377">
            <w:pPr>
              <w:pStyle w:val="Tableverticaltext"/>
            </w:pPr>
            <w:r w:rsidRPr="00267EDC">
              <w:t>Inform</w:t>
            </w:r>
          </w:p>
        </w:tc>
        <w:tc>
          <w:tcPr>
            <w:tcW w:w="652" w:type="dxa"/>
            <w:vMerge w:val="restart"/>
            <w:tcBorders>
              <w:bottom w:val="single" w:sz="6" w:space="0" w:color="1F546B" w:themeColor="text2"/>
            </w:tcBorders>
            <w:textDirection w:val="btLr"/>
            <w:vAlign w:val="center"/>
          </w:tcPr>
          <w:p w14:paraId="63E7D934" w14:textId="77777777" w:rsidR="006B2693" w:rsidRPr="00267EDC" w:rsidRDefault="006B2693" w:rsidP="00466377">
            <w:pPr>
              <w:pStyle w:val="Tableverticaltext"/>
            </w:pPr>
            <w:r w:rsidRPr="00267EDC">
              <w:t>Manage/</w:t>
            </w:r>
          </w:p>
          <w:p w14:paraId="63E7D935" w14:textId="77777777" w:rsidR="006B2693" w:rsidRPr="00267EDC" w:rsidRDefault="006B2693" w:rsidP="00466377">
            <w:pPr>
              <w:pStyle w:val="Tableverticaltext"/>
            </w:pPr>
            <w:r w:rsidRPr="00267EDC">
              <w:t>lead</w:t>
            </w:r>
          </w:p>
        </w:tc>
        <w:tc>
          <w:tcPr>
            <w:tcW w:w="652" w:type="dxa"/>
            <w:vMerge w:val="restart"/>
            <w:tcBorders>
              <w:bottom w:val="single" w:sz="6" w:space="0" w:color="1F546B" w:themeColor="text2"/>
            </w:tcBorders>
            <w:textDirection w:val="btLr"/>
            <w:vAlign w:val="center"/>
          </w:tcPr>
          <w:p w14:paraId="63E7D936" w14:textId="77777777" w:rsidR="006B2693" w:rsidRPr="00267EDC" w:rsidRDefault="006B2693" w:rsidP="00466377">
            <w:pPr>
              <w:pStyle w:val="Tableverticaltext"/>
            </w:pPr>
            <w:r w:rsidRPr="00267EDC">
              <w:t>Deliver to</w:t>
            </w:r>
          </w:p>
        </w:tc>
      </w:tr>
      <w:tr w:rsidR="006B2693" w:rsidRPr="00267EDC" w14:paraId="63E7D93F" w14:textId="77777777" w:rsidTr="008C0328">
        <w:trPr>
          <w:trHeight w:val="323"/>
          <w:tblHeader/>
        </w:trPr>
        <w:tc>
          <w:tcPr>
            <w:tcW w:w="5842" w:type="dxa"/>
            <w:gridSpan w:val="3"/>
            <w:tcBorders>
              <w:top w:val="single" w:sz="6" w:space="0" w:color="1F546B" w:themeColor="text2"/>
              <w:bottom w:val="single" w:sz="6" w:space="0" w:color="1F546B" w:themeColor="text2"/>
              <w:right w:val="single" w:sz="6" w:space="0" w:color="1F546B" w:themeColor="text2"/>
            </w:tcBorders>
            <w:shd w:val="clear" w:color="auto" w:fill="1F546B" w:themeFill="text2"/>
          </w:tcPr>
          <w:p w14:paraId="63E7D938" w14:textId="77777777" w:rsidR="006B2693" w:rsidRPr="00267EDC" w:rsidRDefault="006B2693" w:rsidP="00466377">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3E7D939" w14:textId="77777777" w:rsidR="006B2693" w:rsidRPr="00267EDC" w:rsidRDefault="006B2693" w:rsidP="00466377"/>
        </w:tc>
        <w:tc>
          <w:tcPr>
            <w:tcW w:w="652" w:type="dxa"/>
            <w:vMerge/>
            <w:tcBorders>
              <w:bottom w:val="single" w:sz="6" w:space="0" w:color="1F546B" w:themeColor="text2"/>
            </w:tcBorders>
            <w:textDirection w:val="btLr"/>
          </w:tcPr>
          <w:p w14:paraId="63E7D93A" w14:textId="77777777" w:rsidR="006B2693" w:rsidRPr="00267EDC" w:rsidRDefault="006B2693" w:rsidP="00466377"/>
        </w:tc>
        <w:tc>
          <w:tcPr>
            <w:tcW w:w="652" w:type="dxa"/>
            <w:vMerge/>
            <w:tcBorders>
              <w:bottom w:val="single" w:sz="6" w:space="0" w:color="1F546B" w:themeColor="text2"/>
            </w:tcBorders>
            <w:textDirection w:val="btLr"/>
          </w:tcPr>
          <w:p w14:paraId="63E7D93B" w14:textId="77777777" w:rsidR="006B2693" w:rsidRPr="00267EDC" w:rsidRDefault="006B2693" w:rsidP="00466377"/>
        </w:tc>
        <w:tc>
          <w:tcPr>
            <w:tcW w:w="651" w:type="dxa"/>
            <w:vMerge/>
            <w:tcBorders>
              <w:bottom w:val="single" w:sz="6" w:space="0" w:color="1F546B" w:themeColor="text2"/>
            </w:tcBorders>
            <w:textDirection w:val="btLr"/>
          </w:tcPr>
          <w:p w14:paraId="63E7D93C" w14:textId="77777777" w:rsidR="006B2693" w:rsidRPr="00267EDC" w:rsidRDefault="006B2693" w:rsidP="00466377"/>
        </w:tc>
        <w:tc>
          <w:tcPr>
            <w:tcW w:w="652" w:type="dxa"/>
            <w:vMerge/>
            <w:tcBorders>
              <w:bottom w:val="single" w:sz="6" w:space="0" w:color="1F546B" w:themeColor="text2"/>
            </w:tcBorders>
            <w:textDirection w:val="btLr"/>
          </w:tcPr>
          <w:p w14:paraId="63E7D93D" w14:textId="77777777" w:rsidR="006B2693" w:rsidRPr="00267EDC" w:rsidRDefault="006B2693" w:rsidP="00466377"/>
        </w:tc>
        <w:tc>
          <w:tcPr>
            <w:tcW w:w="652" w:type="dxa"/>
            <w:vMerge/>
            <w:tcBorders>
              <w:top w:val="single" w:sz="6" w:space="0" w:color="1F546B" w:themeColor="text2"/>
              <w:bottom w:val="single" w:sz="6" w:space="0" w:color="1F546B" w:themeColor="text2"/>
            </w:tcBorders>
            <w:textDirection w:val="btLr"/>
          </w:tcPr>
          <w:p w14:paraId="63E7D93E" w14:textId="77777777" w:rsidR="006B2693" w:rsidRPr="00267EDC" w:rsidRDefault="006B2693" w:rsidP="00466377"/>
        </w:tc>
      </w:tr>
      <w:tr w:rsidR="008C0328" w:rsidRPr="001D30D4" w14:paraId="63E7D948" w14:textId="77777777" w:rsidTr="008C0328">
        <w:trPr>
          <w:trHeight w:val="345"/>
        </w:trPr>
        <w:tc>
          <w:tcPr>
            <w:tcW w:w="1134" w:type="dxa"/>
            <w:vMerge w:val="restart"/>
            <w:tcBorders>
              <w:top w:val="single" w:sz="6" w:space="0" w:color="1F546B" w:themeColor="text2"/>
              <w:right w:val="single" w:sz="6" w:space="0" w:color="1F546B" w:themeColor="text2"/>
            </w:tcBorders>
            <w:vAlign w:val="center"/>
          </w:tcPr>
          <w:p w14:paraId="63E7D940" w14:textId="77777777" w:rsidR="008C0328" w:rsidRPr="001D30D4" w:rsidRDefault="008C0328" w:rsidP="00466377">
            <w:pPr>
              <w:pStyle w:val="Tablenormalcondensed"/>
            </w:pPr>
            <w:r w:rsidRPr="001D30D4">
              <w:t>Internal</w:t>
            </w: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41" w14:textId="77777777" w:rsidR="008C0328" w:rsidRPr="008E5F7A" w:rsidRDefault="008C0328" w:rsidP="000972DD">
            <w:pPr>
              <w:pStyle w:val="Tablenormalcondensed"/>
            </w:pPr>
            <w:r>
              <w:t>Manager Safety, Security and Risk</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2" w14:textId="75F50443" w:rsidR="008C0328" w:rsidRPr="008E5F7A"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3" w14:textId="53B165E4" w:rsidR="008C0328" w:rsidRPr="008E5F7A"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4" w14:textId="579EB6DD" w:rsidR="008C0328" w:rsidRPr="008E5F7A" w:rsidRDefault="008C0328" w:rsidP="00466377">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5" w14:textId="77777777"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6" w14:textId="77777777" w:rsidR="008C0328" w:rsidRPr="008E5F7A"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47" w14:textId="7EDA30B8" w:rsidR="008C0328" w:rsidRPr="008E5F7A" w:rsidRDefault="008C0328" w:rsidP="00466377">
            <w:pPr>
              <w:pStyle w:val="Tablenormalcondensed"/>
            </w:pPr>
          </w:p>
        </w:tc>
      </w:tr>
      <w:tr w:rsidR="008C0328" w:rsidRPr="001D30D4" w14:paraId="63E7D951" w14:textId="77777777" w:rsidTr="008C0328">
        <w:trPr>
          <w:trHeight w:val="345"/>
        </w:trPr>
        <w:tc>
          <w:tcPr>
            <w:tcW w:w="1134" w:type="dxa"/>
            <w:vMerge/>
            <w:tcBorders>
              <w:right w:val="single" w:sz="6" w:space="0" w:color="1F546B" w:themeColor="text2"/>
            </w:tcBorders>
            <w:vAlign w:val="center"/>
          </w:tcPr>
          <w:p w14:paraId="63E7D949" w14:textId="77777777" w:rsidR="008C0328" w:rsidRPr="001D30D4" w:rsidRDefault="008C0328" w:rsidP="00466377">
            <w:pPr>
              <w:pStyle w:val="Tablenormalcondensed"/>
            </w:pP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4A" w14:textId="77777777" w:rsidR="008C0328" w:rsidRPr="008E5F7A" w:rsidRDefault="008C0328" w:rsidP="00727D4F">
            <w:pPr>
              <w:pStyle w:val="Tablenormalcondensed"/>
            </w:pPr>
            <w:r>
              <w:t>Principal Advisor, Resilience and Recovery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B" w14:textId="77777777"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C" w14:textId="77777777"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D" w14:textId="68EFD45C" w:rsidR="008C0328" w:rsidRPr="008E5F7A" w:rsidRDefault="008C0328" w:rsidP="00466377">
            <w:pPr>
              <w:pStyle w:val="Tablenormalcondensed"/>
            </w:pPr>
            <w:r w:rsidRPr="008E5F7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E" w14:textId="77777777"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4F" w14:textId="77777777" w:rsidR="008C0328" w:rsidRPr="008E5F7A"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50" w14:textId="77777777" w:rsidR="008C0328" w:rsidRPr="008E5F7A" w:rsidRDefault="008C0328" w:rsidP="00466377">
            <w:pPr>
              <w:pStyle w:val="Tablenormalcondensed"/>
            </w:pPr>
            <w:r w:rsidRPr="008E5F7A">
              <w:sym w:font="Wingdings" w:char="F0FC"/>
            </w:r>
          </w:p>
        </w:tc>
      </w:tr>
      <w:tr w:rsidR="008C0328" w:rsidRPr="001D30D4" w14:paraId="63E7D95A" w14:textId="77777777" w:rsidTr="008C0328">
        <w:trPr>
          <w:trHeight w:val="345"/>
        </w:trPr>
        <w:tc>
          <w:tcPr>
            <w:tcW w:w="1134" w:type="dxa"/>
            <w:vMerge/>
            <w:tcBorders>
              <w:right w:val="single" w:sz="6" w:space="0" w:color="1F546B" w:themeColor="text2"/>
            </w:tcBorders>
            <w:vAlign w:val="center"/>
          </w:tcPr>
          <w:p w14:paraId="63E7D952" w14:textId="77777777" w:rsidR="008C0328" w:rsidRPr="001D30D4" w:rsidRDefault="008C0328" w:rsidP="00466377">
            <w:pPr>
              <w:pStyle w:val="Tablenormalcondensed"/>
            </w:pP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53" w14:textId="74B2F98A" w:rsidR="008C0328" w:rsidRPr="008E5F7A" w:rsidRDefault="008C0328" w:rsidP="000972DD">
            <w:pPr>
              <w:pStyle w:val="Tablenormalcondensed"/>
            </w:pPr>
            <w:r>
              <w:t xml:space="preserve">Staff in the </w:t>
            </w:r>
            <w:proofErr w:type="gramStart"/>
            <w:r>
              <w:t>S,S</w:t>
            </w:r>
            <w:proofErr w:type="gramEnd"/>
            <w:r>
              <w:t>&amp;R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4" w14:textId="111C0AB0"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5" w14:textId="7BD2B69C"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6" w14:textId="5DB4731C" w:rsidR="008C0328" w:rsidRPr="008E5F7A" w:rsidRDefault="008C0328" w:rsidP="00466377">
            <w:pPr>
              <w:pStyle w:val="Tablenormalcondensed"/>
            </w:pPr>
            <w:r w:rsidRPr="008E5F7A">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7" w14:textId="6EB0DD80" w:rsidR="008C0328" w:rsidRPr="008E5F7A" w:rsidRDefault="008C0328" w:rsidP="00466377">
            <w:pPr>
              <w:pStyle w:val="Tablenormalcondensed"/>
            </w:pPr>
            <w:r w:rsidRPr="008E5F7A">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8" w14:textId="77777777" w:rsidR="008C0328" w:rsidRPr="008E5F7A"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59" w14:textId="77777777" w:rsidR="008C0328" w:rsidRPr="008E5F7A" w:rsidRDefault="008C0328" w:rsidP="00466377">
            <w:pPr>
              <w:pStyle w:val="Tablenormalcondensed"/>
            </w:pPr>
          </w:p>
        </w:tc>
      </w:tr>
      <w:tr w:rsidR="008C0328" w:rsidRPr="001D30D4" w14:paraId="63E7D963" w14:textId="77777777" w:rsidTr="008C0328">
        <w:trPr>
          <w:trHeight w:val="345"/>
        </w:trPr>
        <w:tc>
          <w:tcPr>
            <w:tcW w:w="1134" w:type="dxa"/>
            <w:vMerge/>
            <w:tcBorders>
              <w:right w:val="single" w:sz="6" w:space="0" w:color="1F546B" w:themeColor="text2"/>
            </w:tcBorders>
            <w:vAlign w:val="center"/>
          </w:tcPr>
          <w:p w14:paraId="63E7D95B" w14:textId="77777777" w:rsidR="008C0328" w:rsidRPr="001D30D4" w:rsidRDefault="008C0328" w:rsidP="00466377">
            <w:pPr>
              <w:pStyle w:val="Tablenormalcondensed"/>
            </w:pP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5C" w14:textId="608D91A7" w:rsidR="008C0328" w:rsidRDefault="008C0328" w:rsidP="000972DD">
            <w:pPr>
              <w:pStyle w:val="Tablenormalcondensed"/>
            </w:pPr>
            <w:r>
              <w:t>Branch champions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D" w14:textId="32199719" w:rsidR="008C0328" w:rsidRPr="008E5F7A"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E" w14:textId="1AC67559" w:rsidR="008C0328" w:rsidRPr="008E5F7A"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5F" w14:textId="4A9093F3" w:rsidR="008C0328" w:rsidRPr="008E5F7A" w:rsidRDefault="008C0328" w:rsidP="0046637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60" w14:textId="2788A918" w:rsidR="008C0328" w:rsidRPr="008E5F7A"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61" w14:textId="77777777" w:rsidR="008C0328" w:rsidRPr="008E5F7A"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62" w14:textId="77777777" w:rsidR="008C0328" w:rsidRPr="008E5F7A" w:rsidRDefault="008C0328" w:rsidP="00466377">
            <w:pPr>
              <w:pStyle w:val="Tablenormalcondensed"/>
            </w:pPr>
          </w:p>
        </w:tc>
      </w:tr>
      <w:tr w:rsidR="008C0328" w:rsidRPr="001D30D4" w14:paraId="63E7D975" w14:textId="77777777" w:rsidTr="008C0328">
        <w:trPr>
          <w:trHeight w:val="345"/>
        </w:trPr>
        <w:tc>
          <w:tcPr>
            <w:tcW w:w="1134" w:type="dxa"/>
            <w:vMerge/>
            <w:tcBorders>
              <w:right w:val="single" w:sz="6" w:space="0" w:color="1F546B" w:themeColor="text2"/>
            </w:tcBorders>
            <w:vAlign w:val="center"/>
          </w:tcPr>
          <w:p w14:paraId="63E7D96D" w14:textId="77777777" w:rsidR="008C0328" w:rsidRPr="001D30D4" w:rsidRDefault="008C0328" w:rsidP="00466377">
            <w:pPr>
              <w:pStyle w:val="Tablenormalcondensed"/>
            </w:pP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6E" w14:textId="047E266B" w:rsidR="008C0328" w:rsidRDefault="008C0328" w:rsidP="00466377">
            <w:pPr>
              <w:pStyle w:val="Tablenormalcondensed"/>
            </w:pPr>
            <w:r>
              <w:t>Key staff in Technology, Systems &amp; Solutions, Commercial Strategy &amp; Delivery and Legal teams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6F" w14:textId="769487B9"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0" w14:textId="3B27AE88"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1" w14:textId="7C5F67A7" w:rsidR="008C0328" w:rsidRPr="00BA0D3D" w:rsidRDefault="008C0328" w:rsidP="0046637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2" w14:textId="7318601C"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3" w14:textId="77777777" w:rsidR="008C0328" w:rsidRPr="00BA0D3D"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74" w14:textId="77777777" w:rsidR="008C0328" w:rsidRPr="00BA0D3D" w:rsidRDefault="008C0328" w:rsidP="00466377">
            <w:pPr>
              <w:pStyle w:val="Tablenormalcondensed"/>
            </w:pPr>
          </w:p>
        </w:tc>
      </w:tr>
      <w:tr w:rsidR="008C0328" w:rsidRPr="001D30D4" w14:paraId="63E7D97E" w14:textId="77777777" w:rsidTr="008C0328">
        <w:trPr>
          <w:trHeight w:val="233"/>
        </w:trPr>
        <w:tc>
          <w:tcPr>
            <w:tcW w:w="1134" w:type="dxa"/>
            <w:vMerge/>
            <w:tcBorders>
              <w:bottom w:val="single" w:sz="6" w:space="0" w:color="1F546B" w:themeColor="text2"/>
              <w:right w:val="single" w:sz="6" w:space="0" w:color="1F546B" w:themeColor="text2"/>
            </w:tcBorders>
            <w:vAlign w:val="center"/>
          </w:tcPr>
          <w:p w14:paraId="63E7D976" w14:textId="77777777" w:rsidR="008C0328" w:rsidRPr="001D30D4" w:rsidRDefault="008C0328" w:rsidP="00466377">
            <w:pPr>
              <w:pStyle w:val="Tablenormalcondensed"/>
            </w:pP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77" w14:textId="1BC47054" w:rsidR="008C0328" w:rsidRDefault="008C0328" w:rsidP="00466377">
            <w:pPr>
              <w:pStyle w:val="Tablenormalcondensed"/>
            </w:pPr>
            <w:r w:rsidRPr="00BA0D3D">
              <w:t xml:space="preserve">Key stakeholder and interest groups, e.g. </w:t>
            </w:r>
            <w:r>
              <w:t>BC and IM, professional bodies and networks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8" w14:textId="5A160D79" w:rsidR="008C0328" w:rsidRPr="00BA0D3D"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9" w14:textId="1B0FB553"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A" w14:textId="44ABE6E0" w:rsidR="008C0328" w:rsidRPr="00BA0D3D" w:rsidRDefault="008C0328" w:rsidP="0046637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B" w14:textId="11C50249"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7C" w14:textId="77777777" w:rsidR="008C0328" w:rsidRPr="00BA0D3D"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7D" w14:textId="77777777" w:rsidR="008C0328" w:rsidRPr="00BA0D3D" w:rsidRDefault="008C0328" w:rsidP="00466377">
            <w:pPr>
              <w:pStyle w:val="Tablenormalcondensed"/>
            </w:pPr>
          </w:p>
        </w:tc>
      </w:tr>
      <w:tr w:rsidR="008C0328" w:rsidRPr="001D30D4" w14:paraId="63E7D987" w14:textId="77777777" w:rsidTr="008C0328">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63E7D97F" w14:textId="77777777" w:rsidR="008C0328" w:rsidRPr="001D30D4" w:rsidRDefault="008C0328" w:rsidP="00466377">
            <w:pPr>
              <w:pStyle w:val="Tablenormalcondensed"/>
            </w:pPr>
            <w:r>
              <w:t>External</w:t>
            </w:r>
          </w:p>
        </w:tc>
        <w:tc>
          <w:tcPr>
            <w:tcW w:w="4708" w:type="dxa"/>
            <w:gridSpan w:val="2"/>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3E7D980" w14:textId="77777777" w:rsidR="008C0328" w:rsidRPr="001D30D4" w:rsidRDefault="008C0328" w:rsidP="00466377">
            <w:pPr>
              <w:pStyle w:val="Tablenormalcondensed"/>
              <w:rPr>
                <w:highlight w:val="yellow"/>
              </w:rPr>
            </w:pPr>
            <w:r w:rsidRPr="00BA0D3D">
              <w:t xml:space="preserve">Key stakeholder and interest groups, e.g. </w:t>
            </w:r>
            <w:r>
              <w:t>BC and IM, professional bodies and networks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81" w14:textId="77777777" w:rsidR="008C0328" w:rsidRPr="00BA0D3D"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82" w14:textId="77777777"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83" w14:textId="77777777" w:rsidR="008C0328" w:rsidRPr="00BA0D3D" w:rsidRDefault="008C0328" w:rsidP="00466377">
            <w:pPr>
              <w:pStyle w:val="Tablenormalcondensed"/>
            </w:pPr>
            <w:r w:rsidRPr="00BA0D3D">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84" w14:textId="77777777" w:rsidR="008C0328" w:rsidRPr="00BA0D3D" w:rsidRDefault="008C0328" w:rsidP="00466377">
            <w:pPr>
              <w:pStyle w:val="Tablenormalcondensed"/>
            </w:pPr>
            <w:r w:rsidRPr="00BA0D3D">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E7D985" w14:textId="77777777" w:rsidR="008C0328" w:rsidRPr="00BA0D3D" w:rsidRDefault="008C0328" w:rsidP="00466377">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E7D986" w14:textId="77777777" w:rsidR="008C0328" w:rsidRPr="00BA0D3D" w:rsidRDefault="008C0328" w:rsidP="00466377">
            <w:pPr>
              <w:pStyle w:val="Tablenormalcondensed"/>
            </w:pPr>
          </w:p>
        </w:tc>
      </w:tr>
      <w:tr w:rsidR="008C0328" w:rsidRPr="008023C3" w14:paraId="63E7D989" w14:textId="5A29951B" w:rsidTr="008C0328">
        <w:tblPrEx>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Ex>
        <w:trPr>
          <w:tblHeader/>
        </w:trPr>
        <w:tc>
          <w:tcPr>
            <w:tcW w:w="9752" w:type="dxa"/>
            <w:gridSpan w:val="9"/>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3E7D988" w14:textId="77777777" w:rsidR="008C0328" w:rsidRPr="008023C3" w:rsidRDefault="008C0328" w:rsidP="00D304CB">
            <w:pPr>
              <w:pStyle w:val="Tableheading"/>
            </w:pPr>
            <w:r>
              <w:t xml:space="preserve">Your delegations </w:t>
            </w:r>
          </w:p>
        </w:tc>
      </w:tr>
      <w:tr w:rsidR="008C0328" w:rsidRPr="001D30D4" w14:paraId="63E7D98C" w14:textId="77777777" w:rsidTr="008C0328">
        <w:tblPrEx>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Ex>
        <w:tc>
          <w:tcPr>
            <w:tcW w:w="4873" w:type="dxa"/>
            <w:gridSpan w:val="2"/>
            <w:tcBorders>
              <w:top w:val="nil"/>
              <w:left w:val="nil"/>
              <w:bottom w:val="single" w:sz="6" w:space="0" w:color="1F546B" w:themeColor="text2"/>
              <w:right w:val="single" w:sz="6" w:space="0" w:color="1F546B" w:themeColor="text2"/>
            </w:tcBorders>
          </w:tcPr>
          <w:p w14:paraId="63E7D98A" w14:textId="77777777" w:rsidR="008C0328" w:rsidRPr="00356EDF" w:rsidRDefault="008C0328" w:rsidP="00D304CB">
            <w:pPr>
              <w:pStyle w:val="Tablenormal0"/>
            </w:pPr>
            <w:r>
              <w:t>Human Resources and financial delegations</w:t>
            </w:r>
          </w:p>
        </w:tc>
        <w:tc>
          <w:tcPr>
            <w:tcW w:w="4879" w:type="dxa"/>
            <w:gridSpan w:val="7"/>
            <w:tcBorders>
              <w:top w:val="single" w:sz="6" w:space="0" w:color="1F546B" w:themeColor="text2"/>
              <w:left w:val="single" w:sz="6" w:space="0" w:color="1F546B" w:themeColor="text2"/>
              <w:bottom w:val="single" w:sz="6" w:space="0" w:color="1F546B" w:themeColor="text2"/>
              <w:right w:val="nil"/>
            </w:tcBorders>
          </w:tcPr>
          <w:p w14:paraId="63E7D98B" w14:textId="5B4BA040" w:rsidR="008C0328" w:rsidRPr="001D30D4" w:rsidRDefault="008C0328" w:rsidP="00D304CB">
            <w:pPr>
              <w:pStyle w:val="Tablenormal0"/>
            </w:pPr>
            <w:r>
              <w:rPr>
                <w:rFonts w:cs="Arial"/>
                <w:szCs w:val="22"/>
              </w:rPr>
              <w:t>Level Z</w:t>
            </w:r>
          </w:p>
        </w:tc>
      </w:tr>
      <w:tr w:rsidR="008C0328" w:rsidRPr="001D30D4" w14:paraId="63E7D98F" w14:textId="77777777" w:rsidTr="008C0328">
        <w:tblPrEx>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Ex>
        <w:tc>
          <w:tcPr>
            <w:tcW w:w="4873" w:type="dxa"/>
            <w:gridSpan w:val="2"/>
            <w:tcBorders>
              <w:top w:val="single" w:sz="6" w:space="0" w:color="1F546B" w:themeColor="text2"/>
              <w:left w:val="nil"/>
              <w:bottom w:val="single" w:sz="6" w:space="0" w:color="1F546B" w:themeColor="text2"/>
              <w:right w:val="single" w:sz="6" w:space="0" w:color="1F546B" w:themeColor="text2"/>
            </w:tcBorders>
          </w:tcPr>
          <w:p w14:paraId="63E7D98D" w14:textId="582B18E6" w:rsidR="008C0328" w:rsidRDefault="008C0328" w:rsidP="00D304CB">
            <w:pPr>
              <w:pStyle w:val="Tablenormal0"/>
            </w:pPr>
            <w:r>
              <w:t>Direct reports</w:t>
            </w:r>
          </w:p>
        </w:tc>
        <w:tc>
          <w:tcPr>
            <w:tcW w:w="4879" w:type="dxa"/>
            <w:gridSpan w:val="7"/>
            <w:tcBorders>
              <w:top w:val="single" w:sz="6" w:space="0" w:color="1F546B" w:themeColor="text2"/>
              <w:left w:val="single" w:sz="6" w:space="0" w:color="1F546B" w:themeColor="text2"/>
              <w:bottom w:val="single" w:sz="6" w:space="0" w:color="1F546B" w:themeColor="text2"/>
              <w:right w:val="nil"/>
            </w:tcBorders>
          </w:tcPr>
          <w:p w14:paraId="63E7D98E" w14:textId="5AD71115" w:rsidR="008C0328" w:rsidRPr="001D30D4" w:rsidRDefault="008C0328" w:rsidP="00D304CB">
            <w:pPr>
              <w:pStyle w:val="Tablenormal0"/>
            </w:pPr>
            <w:r>
              <w:t xml:space="preserve">Nil </w:t>
            </w:r>
          </w:p>
        </w:tc>
      </w:tr>
    </w:tbl>
    <w:p w14:paraId="63E7D990" w14:textId="77777777" w:rsidR="008023C3" w:rsidRDefault="008023C3" w:rsidP="00466377"/>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63E7D993"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3E7D991" w14:textId="77777777" w:rsidR="008023C3" w:rsidRPr="008023C3" w:rsidRDefault="008023C3" w:rsidP="00466377">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3E7D992" w14:textId="77777777" w:rsidR="008023C3" w:rsidRPr="008023C3" w:rsidRDefault="008023C3" w:rsidP="00466377">
            <w:pPr>
              <w:pStyle w:val="Tableheading"/>
            </w:pPr>
            <w:r w:rsidRPr="008023C3">
              <w:t>What you will bring specifically</w:t>
            </w:r>
          </w:p>
        </w:tc>
      </w:tr>
      <w:tr w:rsidR="008023C3" w:rsidRPr="008023C3" w14:paraId="63E7D9AD" w14:textId="77777777" w:rsidTr="001D30D4">
        <w:tc>
          <w:tcPr>
            <w:tcW w:w="4873" w:type="dxa"/>
            <w:tcBorders>
              <w:top w:val="nil"/>
              <w:left w:val="nil"/>
              <w:bottom w:val="single" w:sz="6" w:space="0" w:color="1F546B" w:themeColor="text2"/>
              <w:right w:val="single" w:sz="6" w:space="0" w:color="1F546B" w:themeColor="text2"/>
            </w:tcBorders>
          </w:tcPr>
          <w:p w14:paraId="63E7D994" w14:textId="77777777" w:rsidR="008023C3" w:rsidRPr="008023C3" w:rsidRDefault="008023C3" w:rsidP="00466377">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w:t>
            </w:r>
            <w:r w:rsidR="00D15035">
              <w:t xml:space="preserve"> </w:t>
            </w:r>
            <w:hyperlink r:id="rId13" w:history="1">
              <w:r w:rsidR="00D15035">
                <w:rPr>
                  <w:rFonts w:ascii="Helvetica" w:hAnsi="Helvetica" w:cs="Helvetica"/>
                  <w:color w:val="810081"/>
                  <w:sz w:val="18"/>
                  <w:szCs w:val="18"/>
                  <w:u w:val="single"/>
                  <w:lang w:val="en"/>
                </w:rPr>
                <w:t>S</w:t>
              </w:r>
              <w:r w:rsidR="00D15035" w:rsidRPr="00D15035">
                <w:rPr>
                  <w:rFonts w:ascii="Helvetica" w:hAnsi="Helvetica" w:cs="Helvetica"/>
                  <w:color w:val="810081"/>
                  <w:sz w:val="18"/>
                  <w:szCs w:val="18"/>
                  <w:u w:val="single"/>
                  <w:lang w:val="en"/>
                </w:rPr>
                <w:t>pecialist</w:t>
              </w:r>
            </w:hyperlink>
            <w:r w:rsidR="001D30D4">
              <w:t>.</w:t>
            </w:r>
            <w:r w:rsidRPr="008023C3">
              <w:br/>
            </w:r>
            <w:r w:rsidRPr="008023C3">
              <w:br/>
            </w:r>
            <w:r w:rsidRPr="009E40D1">
              <w:rPr>
                <w:b/>
                <w:bCs/>
              </w:rPr>
              <w:t>Keys to Success:</w:t>
            </w:r>
          </w:p>
          <w:p w14:paraId="63E7D995" w14:textId="77777777" w:rsidR="00D15035" w:rsidRDefault="00D15035" w:rsidP="00466377">
            <w:pPr>
              <w:pStyle w:val="ListParagraph"/>
              <w:numPr>
                <w:ilvl w:val="0"/>
                <w:numId w:val="23"/>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Problem solving</w:t>
            </w:r>
          </w:p>
          <w:p w14:paraId="63E7D996" w14:textId="77777777" w:rsidR="00D15035" w:rsidRDefault="00D15035" w:rsidP="00466377">
            <w:pPr>
              <w:pStyle w:val="ListParagraph"/>
              <w:numPr>
                <w:ilvl w:val="0"/>
                <w:numId w:val="23"/>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Critical thinking</w:t>
            </w:r>
          </w:p>
          <w:p w14:paraId="63E7D997" w14:textId="77777777" w:rsidR="00D15035" w:rsidRDefault="00D15035" w:rsidP="00466377">
            <w:pPr>
              <w:pStyle w:val="ListParagraph"/>
              <w:numPr>
                <w:ilvl w:val="0"/>
                <w:numId w:val="23"/>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Interpersonal savvy</w:t>
            </w:r>
          </w:p>
          <w:p w14:paraId="63E7D998" w14:textId="77777777" w:rsidR="00D15035" w:rsidRDefault="00D15035" w:rsidP="00466377">
            <w:pPr>
              <w:pStyle w:val="ListParagraph"/>
              <w:numPr>
                <w:ilvl w:val="0"/>
                <w:numId w:val="23"/>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Navigating complexity</w:t>
            </w:r>
          </w:p>
          <w:p w14:paraId="63E7D999" w14:textId="77777777" w:rsidR="00D15035" w:rsidRDefault="00D15035" w:rsidP="00466377">
            <w:pPr>
              <w:pStyle w:val="ListParagraph"/>
              <w:numPr>
                <w:ilvl w:val="0"/>
                <w:numId w:val="23"/>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Communicating with influence</w:t>
            </w:r>
          </w:p>
          <w:p w14:paraId="63E7D99A" w14:textId="77777777" w:rsidR="008023C3" w:rsidRPr="00D15035" w:rsidRDefault="00D15035" w:rsidP="00466377">
            <w:pPr>
              <w:pStyle w:val="ListParagraph"/>
              <w:numPr>
                <w:ilvl w:val="0"/>
                <w:numId w:val="23"/>
              </w:numPr>
              <w:autoSpaceDE w:val="0"/>
              <w:autoSpaceDN w:val="0"/>
              <w:adjustRightInd w:val="0"/>
              <w:spacing w:before="0" w:after="0"/>
              <w:ind w:left="318" w:hanging="284"/>
              <w:rPr>
                <w:rFonts w:cs="Calibri"/>
                <w:color w:val="231F20"/>
                <w:lang w:eastAsia="en-NZ"/>
              </w:rPr>
            </w:pPr>
            <w:r w:rsidRPr="00D15035">
              <w:rPr>
                <w:rFonts w:cs="Calibri"/>
                <w:color w:val="231F20"/>
                <w:lang w:eastAsia="en-NZ"/>
              </w:rPr>
              <w:t>Technical and specialist learning</w:t>
            </w:r>
          </w:p>
          <w:p w14:paraId="63E7D99B" w14:textId="77777777" w:rsidR="008023C3" w:rsidRPr="008023C3" w:rsidRDefault="008023C3" w:rsidP="00466377">
            <w:pPr>
              <w:pStyle w:val="Tablebullet"/>
              <w:numPr>
                <w:ilvl w:val="0"/>
                <w:numId w:val="0"/>
              </w:numPr>
              <w:ind w:left="357"/>
            </w:pPr>
          </w:p>
        </w:tc>
        <w:tc>
          <w:tcPr>
            <w:tcW w:w="4874" w:type="dxa"/>
            <w:tcBorders>
              <w:top w:val="nil"/>
              <w:left w:val="single" w:sz="6" w:space="0" w:color="1F546B" w:themeColor="text2"/>
              <w:bottom w:val="single" w:sz="6" w:space="0" w:color="1F546B" w:themeColor="text2"/>
              <w:right w:val="nil"/>
            </w:tcBorders>
          </w:tcPr>
          <w:p w14:paraId="63E7D99C" w14:textId="77777777" w:rsidR="008023C3" w:rsidRPr="00A60A6F" w:rsidRDefault="008023C3" w:rsidP="00A60A6F">
            <w:pPr>
              <w:pStyle w:val="Tablenormal0"/>
              <w:rPr>
                <w:b/>
                <w:bCs/>
              </w:rPr>
            </w:pPr>
            <w:r w:rsidRPr="00A60A6F">
              <w:rPr>
                <w:b/>
                <w:bCs/>
              </w:rPr>
              <w:t xml:space="preserve">Experience: </w:t>
            </w:r>
          </w:p>
          <w:p w14:paraId="63E7D99D" w14:textId="77777777" w:rsidR="00ED210E" w:rsidRPr="00C002A4" w:rsidRDefault="00175A41" w:rsidP="00C002A4">
            <w:pPr>
              <w:numPr>
                <w:ilvl w:val="0"/>
                <w:numId w:val="24"/>
              </w:numPr>
              <w:tabs>
                <w:tab w:val="left" w:pos="900"/>
              </w:tabs>
              <w:spacing w:before="0" w:after="0"/>
              <w:rPr>
                <w:bCs/>
              </w:rPr>
            </w:pPr>
            <w:r>
              <w:rPr>
                <w:bCs/>
              </w:rPr>
              <w:t>E</w:t>
            </w:r>
            <w:r w:rsidR="00AC1C99" w:rsidRPr="00C002A4">
              <w:rPr>
                <w:bCs/>
              </w:rPr>
              <w:t>xperience in identifying and managing busi</w:t>
            </w:r>
            <w:r w:rsidR="00ED210E" w:rsidRPr="00C002A4">
              <w:rPr>
                <w:bCs/>
              </w:rPr>
              <w:t>ness continuity risk and its impact on BCM frameworks and policies</w:t>
            </w:r>
          </w:p>
          <w:p w14:paraId="63E7D99E" w14:textId="77777777" w:rsidR="00C002A4" w:rsidRDefault="00175A41" w:rsidP="00C002A4">
            <w:pPr>
              <w:numPr>
                <w:ilvl w:val="0"/>
                <w:numId w:val="24"/>
              </w:numPr>
              <w:spacing w:before="0" w:after="0"/>
              <w:rPr>
                <w:bCs/>
              </w:rPr>
            </w:pPr>
            <w:r>
              <w:rPr>
                <w:bCs/>
              </w:rPr>
              <w:t>E</w:t>
            </w:r>
            <w:r w:rsidR="003E4278" w:rsidRPr="00C002A4">
              <w:rPr>
                <w:bCs/>
              </w:rPr>
              <w:t xml:space="preserve">xperience in actively initiating and </w:t>
            </w:r>
            <w:r w:rsidR="00B03C54">
              <w:rPr>
                <w:bCs/>
              </w:rPr>
              <w:t xml:space="preserve">participating in </w:t>
            </w:r>
            <w:r w:rsidR="00B03C54">
              <w:rPr>
                <w:szCs w:val="22"/>
              </w:rPr>
              <w:t>a programme of work to uplift business continuity capability</w:t>
            </w:r>
          </w:p>
          <w:p w14:paraId="63E7D99F" w14:textId="77777777" w:rsidR="008023C3" w:rsidRPr="00C002A4" w:rsidRDefault="00C002A4" w:rsidP="00C002A4">
            <w:pPr>
              <w:numPr>
                <w:ilvl w:val="0"/>
                <w:numId w:val="24"/>
              </w:numPr>
              <w:spacing w:before="0" w:after="0"/>
              <w:rPr>
                <w:bCs/>
              </w:rPr>
            </w:pPr>
            <w:r>
              <w:rPr>
                <w:bCs/>
              </w:rPr>
              <w:t>P</w:t>
            </w:r>
            <w:r w:rsidR="003E4278" w:rsidRPr="00C002A4">
              <w:rPr>
                <w:bCs/>
              </w:rPr>
              <w:t>roactively maintaining highly effective internal and external relationships in a sensitive and professional manner to facilitate required outcomes</w:t>
            </w:r>
          </w:p>
          <w:p w14:paraId="63E7D9A0" w14:textId="77777777" w:rsidR="003E4278" w:rsidRPr="00C002A4" w:rsidRDefault="00C002A4" w:rsidP="00C002A4">
            <w:pPr>
              <w:numPr>
                <w:ilvl w:val="0"/>
                <w:numId w:val="24"/>
              </w:numPr>
              <w:tabs>
                <w:tab w:val="left" w:pos="900"/>
              </w:tabs>
              <w:spacing w:before="0" w:after="0"/>
              <w:rPr>
                <w:bCs/>
              </w:rPr>
            </w:pPr>
            <w:r w:rsidRPr="00C002A4">
              <w:rPr>
                <w:bCs/>
              </w:rPr>
              <w:t>E</w:t>
            </w:r>
            <w:r w:rsidR="003E4278" w:rsidRPr="00C002A4">
              <w:rPr>
                <w:bCs/>
              </w:rPr>
              <w:t>xperience in sharing knowledge and information, making it readily available in a way that is coordinated, accurate and containing all the information to meet internal (or external) stakeholder needs</w:t>
            </w:r>
          </w:p>
          <w:p w14:paraId="63E7D9A1" w14:textId="77777777" w:rsidR="008023C3" w:rsidRPr="00A60A6F" w:rsidRDefault="008023C3" w:rsidP="00C002A4">
            <w:pPr>
              <w:pStyle w:val="Tablenormal0"/>
              <w:ind w:left="360"/>
              <w:rPr>
                <w:b/>
                <w:bCs/>
              </w:rPr>
            </w:pPr>
            <w:r w:rsidRPr="00A60A6F">
              <w:rPr>
                <w:b/>
                <w:bCs/>
              </w:rPr>
              <w:t>Knowledge:</w:t>
            </w:r>
          </w:p>
          <w:p w14:paraId="63E7D9A2" w14:textId="568AFDC9" w:rsidR="00ED210E" w:rsidRDefault="00ED210E" w:rsidP="00C002A4">
            <w:pPr>
              <w:pStyle w:val="Tablenormal0"/>
              <w:numPr>
                <w:ilvl w:val="0"/>
                <w:numId w:val="24"/>
              </w:numPr>
              <w:rPr>
                <w:bCs/>
              </w:rPr>
            </w:pPr>
            <w:r>
              <w:rPr>
                <w:bCs/>
              </w:rPr>
              <w:t>Excellent knowledge of BCM frameworks and techniques</w:t>
            </w:r>
          </w:p>
          <w:p w14:paraId="79965E63" w14:textId="4B0C22D7" w:rsidR="002A7BE3" w:rsidRDefault="002A7BE3" w:rsidP="00C002A4">
            <w:pPr>
              <w:pStyle w:val="Tablenormal0"/>
              <w:numPr>
                <w:ilvl w:val="0"/>
                <w:numId w:val="24"/>
              </w:numPr>
              <w:rPr>
                <w:bCs/>
              </w:rPr>
            </w:pPr>
            <w:r>
              <w:rPr>
                <w:bCs/>
              </w:rPr>
              <w:t>Good working knowledge of Coordinated Incident Management System (CIMS)</w:t>
            </w:r>
          </w:p>
          <w:p w14:paraId="63E7D9A3" w14:textId="77777777" w:rsidR="00ED210E" w:rsidRDefault="00ED210E" w:rsidP="00C002A4">
            <w:pPr>
              <w:pStyle w:val="Tablenormal0"/>
              <w:numPr>
                <w:ilvl w:val="0"/>
                <w:numId w:val="24"/>
              </w:numPr>
              <w:rPr>
                <w:bCs/>
              </w:rPr>
            </w:pPr>
            <w:r>
              <w:rPr>
                <w:bCs/>
              </w:rPr>
              <w:t>Demonstrated knowledge and understanding of strategic and operational business processes in a large and complex public sector organisation</w:t>
            </w:r>
          </w:p>
          <w:p w14:paraId="63E7D9A4" w14:textId="77777777" w:rsidR="00D2198D" w:rsidRPr="00A42E42" w:rsidRDefault="00AC1C99" w:rsidP="00C002A4">
            <w:pPr>
              <w:pStyle w:val="Tablenormal0"/>
              <w:numPr>
                <w:ilvl w:val="0"/>
                <w:numId w:val="24"/>
              </w:numPr>
              <w:rPr>
                <w:bCs/>
              </w:rPr>
            </w:pPr>
            <w:r w:rsidRPr="00F3614E">
              <w:rPr>
                <w:bCs/>
              </w:rPr>
              <w:t xml:space="preserve">Good working knowledge of government structures and processes </w:t>
            </w:r>
          </w:p>
          <w:p w14:paraId="63E7D9A5" w14:textId="77777777" w:rsidR="008023C3" w:rsidRPr="00A60A6F" w:rsidRDefault="008023C3" w:rsidP="00A60A6F">
            <w:pPr>
              <w:pStyle w:val="Tablenormal0"/>
              <w:ind w:left="360"/>
              <w:rPr>
                <w:b/>
                <w:bCs/>
              </w:rPr>
            </w:pPr>
            <w:r w:rsidRPr="00A60A6F">
              <w:rPr>
                <w:b/>
                <w:bCs/>
              </w:rPr>
              <w:t>Skills:</w:t>
            </w:r>
          </w:p>
          <w:p w14:paraId="63E7D9A6" w14:textId="77777777" w:rsidR="00ED210E" w:rsidRPr="00C002A4" w:rsidRDefault="00ED210E" w:rsidP="00C002A4">
            <w:pPr>
              <w:pStyle w:val="Tablenormal0"/>
              <w:numPr>
                <w:ilvl w:val="0"/>
                <w:numId w:val="24"/>
              </w:numPr>
              <w:rPr>
                <w:bCs/>
              </w:rPr>
            </w:pPr>
            <w:r w:rsidRPr="00C002A4">
              <w:rPr>
                <w:bCs/>
              </w:rPr>
              <w:t>Well-developed ability to critically analyse complex information and make effective decisions</w:t>
            </w:r>
          </w:p>
          <w:p w14:paraId="63E7D9A7" w14:textId="2D36F8F0" w:rsidR="00ED210E" w:rsidRPr="00C002A4" w:rsidRDefault="00ED210E" w:rsidP="00C002A4">
            <w:pPr>
              <w:pStyle w:val="Tablenormal0"/>
              <w:numPr>
                <w:ilvl w:val="0"/>
                <w:numId w:val="24"/>
              </w:numPr>
              <w:rPr>
                <w:bCs/>
              </w:rPr>
            </w:pPr>
            <w:r w:rsidRPr="00C002A4">
              <w:rPr>
                <w:bCs/>
              </w:rPr>
              <w:t xml:space="preserve">Proactive and effective management </w:t>
            </w:r>
            <w:r w:rsidR="002A7BE3">
              <w:rPr>
                <w:bCs/>
              </w:rPr>
              <w:t>o</w:t>
            </w:r>
            <w:r w:rsidRPr="00C002A4">
              <w:rPr>
                <w:bCs/>
              </w:rPr>
              <w:t>f internal and external relationships, using effective influencing and questioning techniques</w:t>
            </w:r>
          </w:p>
          <w:p w14:paraId="63E7D9A8" w14:textId="77777777" w:rsidR="00ED210E" w:rsidRPr="00C002A4" w:rsidRDefault="00ED210E" w:rsidP="00C002A4">
            <w:pPr>
              <w:pStyle w:val="Tablenormal0"/>
              <w:numPr>
                <w:ilvl w:val="0"/>
                <w:numId w:val="24"/>
              </w:numPr>
              <w:rPr>
                <w:bCs/>
              </w:rPr>
            </w:pPr>
            <w:r w:rsidRPr="00C002A4">
              <w:rPr>
                <w:bCs/>
              </w:rPr>
              <w:t>Effective communication with senior managers in a manner that build</w:t>
            </w:r>
            <w:r w:rsidR="003E4278" w:rsidRPr="00C002A4">
              <w:rPr>
                <w:bCs/>
              </w:rPr>
              <w:t>s</w:t>
            </w:r>
            <w:r w:rsidRPr="00C002A4">
              <w:rPr>
                <w:bCs/>
              </w:rPr>
              <w:t xml:space="preserve"> credibility</w:t>
            </w:r>
          </w:p>
          <w:p w14:paraId="63E7D9A9" w14:textId="77777777" w:rsidR="00AC1C99" w:rsidRPr="00C002A4" w:rsidRDefault="00AC1C99" w:rsidP="00C002A4">
            <w:pPr>
              <w:pStyle w:val="Tablenormal0"/>
              <w:numPr>
                <w:ilvl w:val="0"/>
                <w:numId w:val="24"/>
              </w:numPr>
              <w:rPr>
                <w:bCs/>
              </w:rPr>
            </w:pPr>
            <w:r w:rsidRPr="00C002A4">
              <w:rPr>
                <w:bCs/>
              </w:rPr>
              <w:t>Ability to thrive in uncertainty and adapt to change</w:t>
            </w:r>
          </w:p>
          <w:p w14:paraId="63E7D9AA" w14:textId="77777777" w:rsidR="00AC1C99" w:rsidRPr="00C002A4" w:rsidRDefault="00AC1C99" w:rsidP="00A60A6F">
            <w:pPr>
              <w:pStyle w:val="Tablenormal0"/>
              <w:ind w:left="360"/>
              <w:rPr>
                <w:bCs/>
              </w:rPr>
            </w:pPr>
          </w:p>
          <w:p w14:paraId="63E7D9AB" w14:textId="77777777" w:rsidR="00D2198D" w:rsidRPr="00C002A4" w:rsidRDefault="00D2198D" w:rsidP="00A60A6F">
            <w:pPr>
              <w:pStyle w:val="Tablenormal0"/>
              <w:ind w:left="360"/>
              <w:rPr>
                <w:bCs/>
              </w:rPr>
            </w:pPr>
          </w:p>
          <w:p w14:paraId="63E7D9AC" w14:textId="77777777" w:rsidR="008023C3" w:rsidRPr="00C002A4" w:rsidRDefault="008023C3" w:rsidP="00A60A6F">
            <w:pPr>
              <w:pStyle w:val="Tablebullet"/>
              <w:numPr>
                <w:ilvl w:val="0"/>
                <w:numId w:val="0"/>
              </w:numPr>
              <w:ind w:left="360"/>
              <w:rPr>
                <w:bCs/>
              </w:rPr>
            </w:pPr>
          </w:p>
        </w:tc>
      </w:tr>
    </w:tbl>
    <w:p w14:paraId="63E7D9AE" w14:textId="77777777" w:rsidR="001676BD" w:rsidRDefault="001676BD" w:rsidP="00466377">
      <w:pPr>
        <w:pStyle w:val="Tinyline"/>
      </w:pPr>
    </w:p>
    <w:p w14:paraId="63E7D9AF" w14:textId="77777777" w:rsidR="000A2EC0" w:rsidRDefault="000A2EC0" w:rsidP="00466377">
      <w:pPr>
        <w:pStyle w:val="Tinyline"/>
      </w:pPr>
    </w:p>
    <w:p w14:paraId="63E7D9B0" w14:textId="77777777" w:rsidR="00466377" w:rsidRPr="000A2EC0" w:rsidRDefault="00466377" w:rsidP="00466377">
      <w:pPr>
        <w:pStyle w:val="Tinyline"/>
        <w:rPr>
          <w:sz w:val="22"/>
          <w:szCs w:val="22"/>
        </w:rPr>
      </w:pPr>
    </w:p>
    <w:sectPr w:rsidR="00466377" w:rsidRPr="000A2EC0" w:rsidSect="00D73A62">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03CC" w14:textId="77777777" w:rsidR="009524EC" w:rsidRDefault="009524EC">
      <w:r>
        <w:separator/>
      </w:r>
    </w:p>
    <w:p w14:paraId="60AC71F0" w14:textId="77777777" w:rsidR="009524EC" w:rsidRDefault="009524EC"/>
    <w:p w14:paraId="529BF34E" w14:textId="77777777" w:rsidR="009524EC" w:rsidRDefault="009524EC"/>
  </w:endnote>
  <w:endnote w:type="continuationSeparator" w:id="0">
    <w:p w14:paraId="65778451" w14:textId="77777777" w:rsidR="009524EC" w:rsidRDefault="009524EC">
      <w:r>
        <w:continuationSeparator/>
      </w:r>
    </w:p>
    <w:p w14:paraId="351C0353" w14:textId="77777777" w:rsidR="009524EC" w:rsidRDefault="009524EC"/>
    <w:p w14:paraId="0EB85036" w14:textId="77777777" w:rsidR="009524EC" w:rsidRDefault="00952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iryo">
    <w:panose1 w:val="020B0604030504040204"/>
    <w:charset w:val="80"/>
    <w:family w:val="swiss"/>
    <w:pitch w:val="variable"/>
    <w:sig w:usb0="E10102FF" w:usb1="EAC7FFFF" w:usb2="0001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D9C0" w14:textId="77777777" w:rsidR="00D304CB" w:rsidRDefault="00D304CB"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AC20BB">
      <w:rPr>
        <w:noProof/>
      </w:rPr>
      <w:t>4</w:t>
    </w:r>
    <w:r>
      <w:fldChar w:fldCharType="end"/>
    </w:r>
    <w:r>
      <w:t xml:space="preserve"> of </w:t>
    </w:r>
    <w:r w:rsidR="00D73A62">
      <w:fldChar w:fldCharType="begin"/>
    </w:r>
    <w:r w:rsidR="00D73A62">
      <w:instrText xml:space="preserve"> NUMPAGES   \* MERGEFORMAT </w:instrText>
    </w:r>
    <w:r w:rsidR="00D73A62">
      <w:fldChar w:fldCharType="separate"/>
    </w:r>
    <w:r w:rsidR="00AC20BB">
      <w:rPr>
        <w:noProof/>
      </w:rPr>
      <w:t>4</w:t>
    </w:r>
    <w:r w:rsidR="00D73A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D9C2" w14:textId="523AFB84" w:rsidR="00D304CB" w:rsidRDefault="00816B17" w:rsidP="001C15EE">
    <w:pPr>
      <w:pStyle w:val="Footer"/>
      <w:tabs>
        <w:tab w:val="right" w:pos="9639"/>
      </w:tabs>
      <w:ind w:right="-1"/>
    </w:pPr>
    <w:r>
      <w:rPr>
        <w:noProof/>
        <w:lang w:eastAsia="en-NZ"/>
      </w:rPr>
      <w:drawing>
        <wp:anchor distT="0" distB="0" distL="114300" distR="114300" simplePos="0" relativeHeight="251660288" behindDoc="0" locked="0" layoutInCell="1" allowOverlap="1" wp14:anchorId="3BCFEAA5" wp14:editId="458C1ABA">
          <wp:simplePos x="0" y="0"/>
          <wp:positionH relativeFrom="column">
            <wp:posOffset>4371975</wp:posOffset>
          </wp:positionH>
          <wp:positionV relativeFrom="paragraph">
            <wp:posOffset>-276860</wp:posOffset>
          </wp:positionV>
          <wp:extent cx="2338705" cy="627380"/>
          <wp:effectExtent l="0" t="0" r="0" b="1270"/>
          <wp:wrapSquare wrapText="bothSides"/>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EFDE" w14:textId="77777777" w:rsidR="009524EC" w:rsidRDefault="009524EC" w:rsidP="00FB1990">
      <w:pPr>
        <w:pStyle w:val="Spacer"/>
      </w:pPr>
      <w:r>
        <w:separator/>
      </w:r>
    </w:p>
    <w:p w14:paraId="7DF4D1F0" w14:textId="77777777" w:rsidR="009524EC" w:rsidRDefault="009524EC" w:rsidP="00FB1990">
      <w:pPr>
        <w:pStyle w:val="Spacer"/>
      </w:pPr>
    </w:p>
  </w:footnote>
  <w:footnote w:type="continuationSeparator" w:id="0">
    <w:p w14:paraId="54E64D20" w14:textId="77777777" w:rsidR="009524EC" w:rsidRDefault="009524EC">
      <w:r>
        <w:continuationSeparator/>
      </w:r>
    </w:p>
    <w:p w14:paraId="2229958D" w14:textId="77777777" w:rsidR="009524EC" w:rsidRDefault="009524EC"/>
    <w:p w14:paraId="305AFC4B" w14:textId="77777777" w:rsidR="009524EC" w:rsidRDefault="00952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D9BE" w14:textId="77777777" w:rsidR="00D304CB" w:rsidRPr="00CD3498" w:rsidRDefault="00D304CB" w:rsidP="003F1357">
    <w:pPr>
      <w:pStyle w:val="Header"/>
      <w:tabs>
        <w:tab w:val="right" w:pos="9639"/>
      </w:tabs>
    </w:pPr>
    <w:r w:rsidRPr="00CD3498">
      <w:tab/>
      <w:t>The Department of Internal Affairs</w:t>
    </w:r>
  </w:p>
  <w:p w14:paraId="63E7D9BF" w14:textId="77777777" w:rsidR="00D304CB" w:rsidRPr="00952122" w:rsidRDefault="00D304CB"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D9C1" w14:textId="77777777" w:rsidR="00D304CB" w:rsidRDefault="00D304CB">
    <w:pPr>
      <w:pStyle w:val="Header"/>
    </w:pPr>
    <w:r>
      <w:rPr>
        <w:noProof/>
        <w:lang w:eastAsia="en-NZ"/>
      </w:rPr>
      <w:drawing>
        <wp:anchor distT="0" distB="0" distL="114300" distR="114300" simplePos="0" relativeHeight="251656192" behindDoc="0" locked="0" layoutInCell="1" allowOverlap="1" wp14:anchorId="63E7D9C3" wp14:editId="63E7D9C4">
          <wp:simplePos x="0" y="0"/>
          <wp:positionH relativeFrom="page">
            <wp:align>center</wp:align>
          </wp:positionH>
          <wp:positionV relativeFrom="page">
            <wp:posOffset>294640</wp:posOffset>
          </wp:positionV>
          <wp:extent cx="6840000" cy="1566000"/>
          <wp:effectExtent l="0" t="0" r="0" b="0"/>
          <wp:wrapTopAndBottom/>
          <wp:docPr id="1" name="Picture 1"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37E6A80"/>
    <w:multiLevelType w:val="hybridMultilevel"/>
    <w:tmpl w:val="5AF6E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9F4E44"/>
    <w:multiLevelType w:val="hybridMultilevel"/>
    <w:tmpl w:val="41DE47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241A3642"/>
    <w:multiLevelType w:val="hybridMultilevel"/>
    <w:tmpl w:val="9E50F5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6B06AA3"/>
    <w:multiLevelType w:val="hybridMultilevel"/>
    <w:tmpl w:val="6E90E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755ED"/>
    <w:multiLevelType w:val="hybridMultilevel"/>
    <w:tmpl w:val="6D549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7532733"/>
    <w:multiLevelType w:val="multilevel"/>
    <w:tmpl w:val="BA7EE8B8"/>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1911BE4"/>
    <w:multiLevelType w:val="hybridMultilevel"/>
    <w:tmpl w:val="7E8E7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7"/>
  </w:num>
  <w:num w:numId="10">
    <w:abstractNumId w:val="11"/>
  </w:num>
  <w:num w:numId="11">
    <w:abstractNumId w:val="21"/>
  </w:num>
  <w:num w:numId="12">
    <w:abstractNumId w:val="22"/>
  </w:num>
  <w:num w:numId="13">
    <w:abstractNumId w:val="24"/>
  </w:num>
  <w:num w:numId="14">
    <w:abstractNumId w:val="7"/>
  </w:num>
  <w:num w:numId="15">
    <w:abstractNumId w:val="14"/>
  </w:num>
  <w:num w:numId="16">
    <w:abstractNumId w:val="26"/>
  </w:num>
  <w:num w:numId="17">
    <w:abstractNumId w:val="23"/>
  </w:num>
  <w:num w:numId="18">
    <w:abstractNumId w:val="18"/>
  </w:num>
  <w:num w:numId="19">
    <w:abstractNumId w:val="15"/>
  </w:num>
  <w:num w:numId="20">
    <w:abstractNumId w:val="8"/>
  </w:num>
  <w:num w:numId="21">
    <w:abstractNumId w:val="6"/>
  </w:num>
  <w:num w:numId="22">
    <w:abstractNumId w:val="9"/>
  </w:num>
  <w:num w:numId="23">
    <w:abstractNumId w:val="16"/>
  </w:num>
  <w:num w:numId="24">
    <w:abstractNumId w:val="12"/>
  </w:num>
  <w:num w:numId="25">
    <w:abstractNumId w:val="25"/>
  </w:num>
  <w:num w:numId="26">
    <w:abstractNumId w:val="1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23C"/>
    <w:rsid w:val="00003360"/>
    <w:rsid w:val="00003FC7"/>
    <w:rsid w:val="00005919"/>
    <w:rsid w:val="00007C42"/>
    <w:rsid w:val="0001130E"/>
    <w:rsid w:val="00015020"/>
    <w:rsid w:val="0001647B"/>
    <w:rsid w:val="00020010"/>
    <w:rsid w:val="00033429"/>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03F8"/>
    <w:rsid w:val="00091C3A"/>
    <w:rsid w:val="000972DD"/>
    <w:rsid w:val="000A2EC0"/>
    <w:rsid w:val="000B59F0"/>
    <w:rsid w:val="000C43EC"/>
    <w:rsid w:val="000D251B"/>
    <w:rsid w:val="000D40D5"/>
    <w:rsid w:val="000D61F6"/>
    <w:rsid w:val="000E3240"/>
    <w:rsid w:val="000E677B"/>
    <w:rsid w:val="000F4ADF"/>
    <w:rsid w:val="000F61AF"/>
    <w:rsid w:val="0010171C"/>
    <w:rsid w:val="00102061"/>
    <w:rsid w:val="00102FAD"/>
    <w:rsid w:val="00105000"/>
    <w:rsid w:val="00121870"/>
    <w:rsid w:val="00124991"/>
    <w:rsid w:val="00126FDE"/>
    <w:rsid w:val="0013703F"/>
    <w:rsid w:val="00140ED2"/>
    <w:rsid w:val="00143E7C"/>
    <w:rsid w:val="0014415C"/>
    <w:rsid w:val="0014565E"/>
    <w:rsid w:val="001536C9"/>
    <w:rsid w:val="001634E1"/>
    <w:rsid w:val="0016433D"/>
    <w:rsid w:val="001676BD"/>
    <w:rsid w:val="001676EC"/>
    <w:rsid w:val="00175A41"/>
    <w:rsid w:val="00184C0F"/>
    <w:rsid w:val="0018721D"/>
    <w:rsid w:val="001A5F55"/>
    <w:rsid w:val="001B00F0"/>
    <w:rsid w:val="001B508B"/>
    <w:rsid w:val="001C0031"/>
    <w:rsid w:val="001C0C30"/>
    <w:rsid w:val="001C15EE"/>
    <w:rsid w:val="001C3281"/>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502D1"/>
    <w:rsid w:val="00255E1D"/>
    <w:rsid w:val="00260A17"/>
    <w:rsid w:val="002630B8"/>
    <w:rsid w:val="00265F69"/>
    <w:rsid w:val="00267EDC"/>
    <w:rsid w:val="00270EEC"/>
    <w:rsid w:val="002777D8"/>
    <w:rsid w:val="002806A2"/>
    <w:rsid w:val="00285621"/>
    <w:rsid w:val="00297CC7"/>
    <w:rsid w:val="002A194F"/>
    <w:rsid w:val="002A4BD9"/>
    <w:rsid w:val="002A4FE7"/>
    <w:rsid w:val="002A7BE3"/>
    <w:rsid w:val="002B1CEB"/>
    <w:rsid w:val="002C71C6"/>
    <w:rsid w:val="002D3125"/>
    <w:rsid w:val="002D4F42"/>
    <w:rsid w:val="002E5DD2"/>
    <w:rsid w:val="0030084C"/>
    <w:rsid w:val="003039E1"/>
    <w:rsid w:val="00305CAC"/>
    <w:rsid w:val="003129BA"/>
    <w:rsid w:val="003130BB"/>
    <w:rsid w:val="003148FC"/>
    <w:rsid w:val="003177C8"/>
    <w:rsid w:val="0032132E"/>
    <w:rsid w:val="00330820"/>
    <w:rsid w:val="00342283"/>
    <w:rsid w:val="003465C8"/>
    <w:rsid w:val="0035281C"/>
    <w:rsid w:val="00360643"/>
    <w:rsid w:val="0037016B"/>
    <w:rsid w:val="00370FC0"/>
    <w:rsid w:val="0037212A"/>
    <w:rsid w:val="00373206"/>
    <w:rsid w:val="003737ED"/>
    <w:rsid w:val="00375B80"/>
    <w:rsid w:val="00377352"/>
    <w:rsid w:val="003802B0"/>
    <w:rsid w:val="003A04AB"/>
    <w:rsid w:val="003A10DA"/>
    <w:rsid w:val="003A12C8"/>
    <w:rsid w:val="003A6FFE"/>
    <w:rsid w:val="003A7695"/>
    <w:rsid w:val="003B3A23"/>
    <w:rsid w:val="003B6592"/>
    <w:rsid w:val="003C772C"/>
    <w:rsid w:val="003D175D"/>
    <w:rsid w:val="003E4278"/>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2B04"/>
    <w:rsid w:val="004552A0"/>
    <w:rsid w:val="00457145"/>
    <w:rsid w:val="00457E34"/>
    <w:rsid w:val="00460A83"/>
    <w:rsid w:val="00460B3F"/>
    <w:rsid w:val="00464752"/>
    <w:rsid w:val="0046587F"/>
    <w:rsid w:val="00466377"/>
    <w:rsid w:val="00472A55"/>
    <w:rsid w:val="00476068"/>
    <w:rsid w:val="004763B3"/>
    <w:rsid w:val="00477619"/>
    <w:rsid w:val="00486E6E"/>
    <w:rsid w:val="004875DF"/>
    <w:rsid w:val="00487C1D"/>
    <w:rsid w:val="00494C6F"/>
    <w:rsid w:val="004A5823"/>
    <w:rsid w:val="004B0AAF"/>
    <w:rsid w:val="004B1B22"/>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4434"/>
    <w:rsid w:val="0052216D"/>
    <w:rsid w:val="00526115"/>
    <w:rsid w:val="00526599"/>
    <w:rsid w:val="00530940"/>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4E33"/>
    <w:rsid w:val="00585690"/>
    <w:rsid w:val="00594AAA"/>
    <w:rsid w:val="00595B33"/>
    <w:rsid w:val="0059662F"/>
    <w:rsid w:val="005A2652"/>
    <w:rsid w:val="005B7254"/>
    <w:rsid w:val="005D3066"/>
    <w:rsid w:val="005D6013"/>
    <w:rsid w:val="005E4205"/>
    <w:rsid w:val="005E4B13"/>
    <w:rsid w:val="005E4C02"/>
    <w:rsid w:val="005F01DF"/>
    <w:rsid w:val="005F0218"/>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64695"/>
    <w:rsid w:val="006713ED"/>
    <w:rsid w:val="0067417A"/>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267B"/>
    <w:rsid w:val="00715B8F"/>
    <w:rsid w:val="00727D4F"/>
    <w:rsid w:val="0073106E"/>
    <w:rsid w:val="00737813"/>
    <w:rsid w:val="00755142"/>
    <w:rsid w:val="00756BB7"/>
    <w:rsid w:val="007575DD"/>
    <w:rsid w:val="0075764B"/>
    <w:rsid w:val="00760C01"/>
    <w:rsid w:val="00761293"/>
    <w:rsid w:val="00767C04"/>
    <w:rsid w:val="0077365F"/>
    <w:rsid w:val="007736A2"/>
    <w:rsid w:val="00797731"/>
    <w:rsid w:val="007A6226"/>
    <w:rsid w:val="007B3C61"/>
    <w:rsid w:val="007D1918"/>
    <w:rsid w:val="007D3AE6"/>
    <w:rsid w:val="007F03F2"/>
    <w:rsid w:val="007F72D8"/>
    <w:rsid w:val="008023C3"/>
    <w:rsid w:val="008031DF"/>
    <w:rsid w:val="008065D7"/>
    <w:rsid w:val="008111A3"/>
    <w:rsid w:val="0081298E"/>
    <w:rsid w:val="00816B17"/>
    <w:rsid w:val="00816E30"/>
    <w:rsid w:val="0081703A"/>
    <w:rsid w:val="0082264B"/>
    <w:rsid w:val="0082434E"/>
    <w:rsid w:val="0082765B"/>
    <w:rsid w:val="008352B1"/>
    <w:rsid w:val="008353E7"/>
    <w:rsid w:val="00835BD7"/>
    <w:rsid w:val="008428E8"/>
    <w:rsid w:val="00843D71"/>
    <w:rsid w:val="00846F11"/>
    <w:rsid w:val="0084745A"/>
    <w:rsid w:val="00857463"/>
    <w:rsid w:val="00857593"/>
    <w:rsid w:val="00870045"/>
    <w:rsid w:val="00876E5F"/>
    <w:rsid w:val="00877819"/>
    <w:rsid w:val="0088110F"/>
    <w:rsid w:val="00884A12"/>
    <w:rsid w:val="00890CE4"/>
    <w:rsid w:val="00891DF4"/>
    <w:rsid w:val="00891ED7"/>
    <w:rsid w:val="008B024E"/>
    <w:rsid w:val="008B7B54"/>
    <w:rsid w:val="008C0328"/>
    <w:rsid w:val="008C2026"/>
    <w:rsid w:val="008C3187"/>
    <w:rsid w:val="008C5E4F"/>
    <w:rsid w:val="008D63B7"/>
    <w:rsid w:val="008D6A03"/>
    <w:rsid w:val="008D6CA7"/>
    <w:rsid w:val="008E508C"/>
    <w:rsid w:val="008E5F7A"/>
    <w:rsid w:val="008E7FEE"/>
    <w:rsid w:val="008F2F06"/>
    <w:rsid w:val="008F31F5"/>
    <w:rsid w:val="008F67F5"/>
    <w:rsid w:val="008F6BCE"/>
    <w:rsid w:val="00900D4B"/>
    <w:rsid w:val="0090491B"/>
    <w:rsid w:val="00905F9B"/>
    <w:rsid w:val="00913E95"/>
    <w:rsid w:val="00915B63"/>
    <w:rsid w:val="009170B9"/>
    <w:rsid w:val="00923A87"/>
    <w:rsid w:val="00927482"/>
    <w:rsid w:val="00936FF5"/>
    <w:rsid w:val="0094654B"/>
    <w:rsid w:val="0095112B"/>
    <w:rsid w:val="00952122"/>
    <w:rsid w:val="009524EC"/>
    <w:rsid w:val="0095712A"/>
    <w:rsid w:val="009576D4"/>
    <w:rsid w:val="0096306D"/>
    <w:rsid w:val="00973A6D"/>
    <w:rsid w:val="009804E0"/>
    <w:rsid w:val="00983735"/>
    <w:rsid w:val="009865AA"/>
    <w:rsid w:val="00987080"/>
    <w:rsid w:val="0098765A"/>
    <w:rsid w:val="00987E5B"/>
    <w:rsid w:val="00991620"/>
    <w:rsid w:val="009968B0"/>
    <w:rsid w:val="009A561F"/>
    <w:rsid w:val="009A6CB2"/>
    <w:rsid w:val="009B0982"/>
    <w:rsid w:val="009B4C99"/>
    <w:rsid w:val="009B66D4"/>
    <w:rsid w:val="009B723B"/>
    <w:rsid w:val="009C0471"/>
    <w:rsid w:val="009C13FB"/>
    <w:rsid w:val="009C42A8"/>
    <w:rsid w:val="009D28CF"/>
    <w:rsid w:val="009D546F"/>
    <w:rsid w:val="009E40D1"/>
    <w:rsid w:val="009E5D36"/>
    <w:rsid w:val="009E6375"/>
    <w:rsid w:val="009E7CA0"/>
    <w:rsid w:val="00A04392"/>
    <w:rsid w:val="00A069CE"/>
    <w:rsid w:val="00A109D8"/>
    <w:rsid w:val="00A16003"/>
    <w:rsid w:val="00A16063"/>
    <w:rsid w:val="00A167D7"/>
    <w:rsid w:val="00A229EC"/>
    <w:rsid w:val="00A23D39"/>
    <w:rsid w:val="00A23EC2"/>
    <w:rsid w:val="00A24FBB"/>
    <w:rsid w:val="00A332E8"/>
    <w:rsid w:val="00A3453E"/>
    <w:rsid w:val="00A42E42"/>
    <w:rsid w:val="00A42ED2"/>
    <w:rsid w:val="00A44B33"/>
    <w:rsid w:val="00A4638C"/>
    <w:rsid w:val="00A50E00"/>
    <w:rsid w:val="00A52529"/>
    <w:rsid w:val="00A53624"/>
    <w:rsid w:val="00A55EAF"/>
    <w:rsid w:val="00A5766B"/>
    <w:rsid w:val="00A60A6F"/>
    <w:rsid w:val="00A75E43"/>
    <w:rsid w:val="00A77512"/>
    <w:rsid w:val="00A827BD"/>
    <w:rsid w:val="00A863E3"/>
    <w:rsid w:val="00A94161"/>
    <w:rsid w:val="00A97BFB"/>
    <w:rsid w:val="00AA42EB"/>
    <w:rsid w:val="00AB0BBC"/>
    <w:rsid w:val="00AB3A92"/>
    <w:rsid w:val="00AB478B"/>
    <w:rsid w:val="00AB47AC"/>
    <w:rsid w:val="00AB4AD9"/>
    <w:rsid w:val="00AC1C99"/>
    <w:rsid w:val="00AC20BB"/>
    <w:rsid w:val="00AC2459"/>
    <w:rsid w:val="00AD6E77"/>
    <w:rsid w:val="00AD7A25"/>
    <w:rsid w:val="00AD7BF3"/>
    <w:rsid w:val="00AE2666"/>
    <w:rsid w:val="00AF3A5A"/>
    <w:rsid w:val="00AF3E15"/>
    <w:rsid w:val="00AF5218"/>
    <w:rsid w:val="00AF60A0"/>
    <w:rsid w:val="00B0290B"/>
    <w:rsid w:val="00B02CD1"/>
    <w:rsid w:val="00B038F2"/>
    <w:rsid w:val="00B03C54"/>
    <w:rsid w:val="00B0480E"/>
    <w:rsid w:val="00B1026A"/>
    <w:rsid w:val="00B17137"/>
    <w:rsid w:val="00B21166"/>
    <w:rsid w:val="00B263AE"/>
    <w:rsid w:val="00B33A6C"/>
    <w:rsid w:val="00B42F17"/>
    <w:rsid w:val="00B43A02"/>
    <w:rsid w:val="00B47091"/>
    <w:rsid w:val="00B50F47"/>
    <w:rsid w:val="00B54416"/>
    <w:rsid w:val="00B56534"/>
    <w:rsid w:val="00B57A21"/>
    <w:rsid w:val="00B62C3E"/>
    <w:rsid w:val="00B645DE"/>
    <w:rsid w:val="00B65857"/>
    <w:rsid w:val="00B66698"/>
    <w:rsid w:val="00B7059B"/>
    <w:rsid w:val="00B745DC"/>
    <w:rsid w:val="00B840E1"/>
    <w:rsid w:val="00B84350"/>
    <w:rsid w:val="00B855A6"/>
    <w:rsid w:val="00B90EE6"/>
    <w:rsid w:val="00B91098"/>
    <w:rsid w:val="00B91904"/>
    <w:rsid w:val="00B92735"/>
    <w:rsid w:val="00B969ED"/>
    <w:rsid w:val="00BA0D3D"/>
    <w:rsid w:val="00BA2670"/>
    <w:rsid w:val="00BA77F1"/>
    <w:rsid w:val="00BB0D90"/>
    <w:rsid w:val="00BB3B51"/>
    <w:rsid w:val="00BB60C6"/>
    <w:rsid w:val="00BB7984"/>
    <w:rsid w:val="00BC45F7"/>
    <w:rsid w:val="00BC6A06"/>
    <w:rsid w:val="00BD137C"/>
    <w:rsid w:val="00BE3BC7"/>
    <w:rsid w:val="00BF0C5F"/>
    <w:rsid w:val="00BF1AB7"/>
    <w:rsid w:val="00BF4F5E"/>
    <w:rsid w:val="00BF7FE9"/>
    <w:rsid w:val="00C002A4"/>
    <w:rsid w:val="00C03596"/>
    <w:rsid w:val="00C05EEC"/>
    <w:rsid w:val="00C1191B"/>
    <w:rsid w:val="00C15A13"/>
    <w:rsid w:val="00C17E0C"/>
    <w:rsid w:val="00C238D9"/>
    <w:rsid w:val="00C24A9D"/>
    <w:rsid w:val="00C2677E"/>
    <w:rsid w:val="00C31542"/>
    <w:rsid w:val="00C32604"/>
    <w:rsid w:val="00C45EB1"/>
    <w:rsid w:val="00C5028E"/>
    <w:rsid w:val="00C54E78"/>
    <w:rsid w:val="00C57BD6"/>
    <w:rsid w:val="00C6078D"/>
    <w:rsid w:val="00C657CF"/>
    <w:rsid w:val="00C76624"/>
    <w:rsid w:val="00C80D62"/>
    <w:rsid w:val="00C8388B"/>
    <w:rsid w:val="00C84944"/>
    <w:rsid w:val="00C90217"/>
    <w:rsid w:val="00C96BFD"/>
    <w:rsid w:val="00C96C98"/>
    <w:rsid w:val="00CA5358"/>
    <w:rsid w:val="00CB1DCA"/>
    <w:rsid w:val="00CC6CE1"/>
    <w:rsid w:val="00CD502A"/>
    <w:rsid w:val="00CF0C77"/>
    <w:rsid w:val="00CF12CF"/>
    <w:rsid w:val="00CF24D1"/>
    <w:rsid w:val="00CF4BE3"/>
    <w:rsid w:val="00D029B4"/>
    <w:rsid w:val="00D060D2"/>
    <w:rsid w:val="00D13E2D"/>
    <w:rsid w:val="00D14394"/>
    <w:rsid w:val="00D15035"/>
    <w:rsid w:val="00D2198D"/>
    <w:rsid w:val="00D242CD"/>
    <w:rsid w:val="00D26F74"/>
    <w:rsid w:val="00D304CB"/>
    <w:rsid w:val="00D341C3"/>
    <w:rsid w:val="00D42843"/>
    <w:rsid w:val="00D43F10"/>
    <w:rsid w:val="00D5152A"/>
    <w:rsid w:val="00D560EB"/>
    <w:rsid w:val="00D65145"/>
    <w:rsid w:val="00D73A62"/>
    <w:rsid w:val="00D73D87"/>
    <w:rsid w:val="00D74314"/>
    <w:rsid w:val="00D80A7E"/>
    <w:rsid w:val="00D81410"/>
    <w:rsid w:val="00D92505"/>
    <w:rsid w:val="00DA267C"/>
    <w:rsid w:val="00DA27B3"/>
    <w:rsid w:val="00DA5101"/>
    <w:rsid w:val="00DA62E8"/>
    <w:rsid w:val="00DA79EF"/>
    <w:rsid w:val="00DB0C0B"/>
    <w:rsid w:val="00DB3B74"/>
    <w:rsid w:val="00DC5870"/>
    <w:rsid w:val="00DD0384"/>
    <w:rsid w:val="00DD0593"/>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52865"/>
    <w:rsid w:val="00E604A1"/>
    <w:rsid w:val="00E65033"/>
    <w:rsid w:val="00E71676"/>
    <w:rsid w:val="00E7293C"/>
    <w:rsid w:val="00E73AA8"/>
    <w:rsid w:val="00E762E5"/>
    <w:rsid w:val="00E76812"/>
    <w:rsid w:val="00E80228"/>
    <w:rsid w:val="00E86D2A"/>
    <w:rsid w:val="00E8711A"/>
    <w:rsid w:val="00EA2ED4"/>
    <w:rsid w:val="00EA491A"/>
    <w:rsid w:val="00EA6AD8"/>
    <w:rsid w:val="00EB1583"/>
    <w:rsid w:val="00EB54A9"/>
    <w:rsid w:val="00EC23FB"/>
    <w:rsid w:val="00EC7017"/>
    <w:rsid w:val="00ED210E"/>
    <w:rsid w:val="00ED4356"/>
    <w:rsid w:val="00ED7681"/>
    <w:rsid w:val="00EE243C"/>
    <w:rsid w:val="00EF63C6"/>
    <w:rsid w:val="00F034FB"/>
    <w:rsid w:val="00F05606"/>
    <w:rsid w:val="00F105F5"/>
    <w:rsid w:val="00F1075A"/>
    <w:rsid w:val="00F17CA3"/>
    <w:rsid w:val="00F22E82"/>
    <w:rsid w:val="00F2483A"/>
    <w:rsid w:val="00F337BF"/>
    <w:rsid w:val="00F33D14"/>
    <w:rsid w:val="00F3614E"/>
    <w:rsid w:val="00F473B6"/>
    <w:rsid w:val="00F52E57"/>
    <w:rsid w:val="00F53E06"/>
    <w:rsid w:val="00F54188"/>
    <w:rsid w:val="00F54CC0"/>
    <w:rsid w:val="00F727A5"/>
    <w:rsid w:val="00F83A14"/>
    <w:rsid w:val="00F847A9"/>
    <w:rsid w:val="00FA5FE9"/>
    <w:rsid w:val="00FA67D2"/>
    <w:rsid w:val="00FB1990"/>
    <w:rsid w:val="00FB302F"/>
    <w:rsid w:val="00FB5A92"/>
    <w:rsid w:val="00FC1C69"/>
    <w:rsid w:val="00FC3739"/>
    <w:rsid w:val="00FD60BC"/>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7D8DB"/>
  <w15:docId w15:val="{7D5469D5-DA98-45DF-8ECC-3A22BBB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BodyText0">
    <w:name w:val="BodyText"/>
    <w:basedOn w:val="Normal"/>
    <w:qFormat/>
    <w:rsid w:val="00342283"/>
    <w:pPr>
      <w:spacing w:before="160" w:after="160" w:line="300" w:lineRule="atLeast"/>
    </w:pPr>
    <w:rPr>
      <w:rFonts w:ascii="Gill Sans MT" w:eastAsia="Meiryo" w:hAnsi="Gill Sans MT"/>
      <w:sz w:val="22"/>
      <w:szCs w:val="22"/>
      <w:lang w:val="en-US" w:eastAsia="ja-JP"/>
    </w:rPr>
  </w:style>
  <w:style w:type="paragraph" w:styleId="CommentText">
    <w:name w:val="annotation text"/>
    <w:basedOn w:val="Normal"/>
    <w:link w:val="CommentTextChar"/>
    <w:rsid w:val="00891DF4"/>
    <w:rPr>
      <w:sz w:val="20"/>
      <w:szCs w:val="20"/>
    </w:rPr>
  </w:style>
  <w:style w:type="character" w:customStyle="1" w:styleId="CommentTextChar">
    <w:name w:val="Comment Text Char"/>
    <w:basedOn w:val="DefaultParagraphFont"/>
    <w:link w:val="CommentText"/>
    <w:rsid w:val="00891DF4"/>
    <w:rPr>
      <w:sz w:val="20"/>
      <w:szCs w:val="20"/>
      <w:lang w:eastAsia="en-US"/>
    </w:rPr>
  </w:style>
  <w:style w:type="paragraph" w:styleId="CommentSubject">
    <w:name w:val="annotation subject"/>
    <w:basedOn w:val="CommentText"/>
    <w:next w:val="CommentText"/>
    <w:link w:val="CommentSubjectChar"/>
    <w:uiPriority w:val="99"/>
    <w:semiHidden/>
    <w:rsid w:val="00891DF4"/>
    <w:rPr>
      <w:b/>
      <w:bCs/>
    </w:rPr>
  </w:style>
  <w:style w:type="character" w:customStyle="1" w:styleId="CommentSubjectChar">
    <w:name w:val="Comment Subject Char"/>
    <w:basedOn w:val="CommentTextChar"/>
    <w:link w:val="CommentSubject"/>
    <w:uiPriority w:val="99"/>
    <w:semiHidden/>
    <w:rsid w:val="00891DF4"/>
    <w:rPr>
      <w:b/>
      <w:bCs/>
      <w:sz w:val="20"/>
      <w:szCs w:val="20"/>
      <w:lang w:eastAsia="en-US"/>
    </w:rPr>
  </w:style>
  <w:style w:type="paragraph" w:styleId="Revision">
    <w:name w:val="Revision"/>
    <w:hidden/>
    <w:uiPriority w:val="99"/>
    <w:semiHidden/>
    <w:rsid w:val="00F17CA3"/>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2955">
      <w:bodyDiv w:val="1"/>
      <w:marLeft w:val="0"/>
      <w:marRight w:val="0"/>
      <w:marTop w:val="0"/>
      <w:marBottom w:val="0"/>
      <w:divBdr>
        <w:top w:val="none" w:sz="0" w:space="0" w:color="auto"/>
        <w:left w:val="none" w:sz="0" w:space="0" w:color="auto"/>
        <w:bottom w:val="none" w:sz="0" w:space="0" w:color="auto"/>
        <w:right w:val="none" w:sz="0" w:space="0" w:color="auto"/>
      </w:divBdr>
    </w:div>
    <w:div w:id="562109284">
      <w:bodyDiv w:val="1"/>
      <w:marLeft w:val="0"/>
      <w:marRight w:val="0"/>
      <w:marTop w:val="0"/>
      <w:marBottom w:val="0"/>
      <w:divBdr>
        <w:top w:val="none" w:sz="0" w:space="0" w:color="auto"/>
        <w:left w:val="none" w:sz="0" w:space="0" w:color="auto"/>
        <w:bottom w:val="none" w:sz="0" w:space="0" w:color="auto"/>
        <w:right w:val="none" w:sz="0" w:space="0" w:color="auto"/>
      </w:divBdr>
    </w:div>
    <w:div w:id="693917353">
      <w:bodyDiv w:val="1"/>
      <w:marLeft w:val="0"/>
      <w:marRight w:val="0"/>
      <w:marTop w:val="0"/>
      <w:marBottom w:val="0"/>
      <w:divBdr>
        <w:top w:val="none" w:sz="0" w:space="0" w:color="auto"/>
        <w:left w:val="none" w:sz="0" w:space="0" w:color="auto"/>
        <w:bottom w:val="none" w:sz="0" w:space="0" w:color="auto"/>
        <w:right w:val="none" w:sz="0" w:space="0" w:color="auto"/>
      </w:divBdr>
    </w:div>
    <w:div w:id="699428477">
      <w:bodyDiv w:val="1"/>
      <w:marLeft w:val="0"/>
      <w:marRight w:val="0"/>
      <w:marTop w:val="0"/>
      <w:marBottom w:val="0"/>
      <w:divBdr>
        <w:top w:val="none" w:sz="0" w:space="0" w:color="auto"/>
        <w:left w:val="none" w:sz="0" w:space="0" w:color="auto"/>
        <w:bottom w:val="none" w:sz="0" w:space="0" w:color="auto"/>
        <w:right w:val="none" w:sz="0" w:space="0" w:color="auto"/>
      </w:divBdr>
    </w:div>
    <w:div w:id="1038624376">
      <w:bodyDiv w:val="1"/>
      <w:marLeft w:val="0"/>
      <w:marRight w:val="0"/>
      <w:marTop w:val="0"/>
      <w:marBottom w:val="0"/>
      <w:divBdr>
        <w:top w:val="none" w:sz="0" w:space="0" w:color="auto"/>
        <w:left w:val="none" w:sz="0" w:space="0" w:color="auto"/>
        <w:bottom w:val="none" w:sz="0" w:space="0" w:color="auto"/>
        <w:right w:val="none" w:sz="0" w:space="0" w:color="auto"/>
      </w:divBdr>
    </w:div>
    <w:div w:id="1085688066">
      <w:bodyDiv w:val="1"/>
      <w:marLeft w:val="0"/>
      <w:marRight w:val="0"/>
      <w:marTop w:val="0"/>
      <w:marBottom w:val="0"/>
      <w:divBdr>
        <w:top w:val="none" w:sz="0" w:space="0" w:color="auto"/>
        <w:left w:val="none" w:sz="0" w:space="0" w:color="auto"/>
        <w:bottom w:val="none" w:sz="0" w:space="0" w:color="auto"/>
        <w:right w:val="none" w:sz="0" w:space="0" w:color="auto"/>
      </w:divBdr>
    </w:div>
    <w:div w:id="1276794979">
      <w:bodyDiv w:val="1"/>
      <w:marLeft w:val="0"/>
      <w:marRight w:val="0"/>
      <w:marTop w:val="0"/>
      <w:marBottom w:val="0"/>
      <w:divBdr>
        <w:top w:val="none" w:sz="0" w:space="0" w:color="auto"/>
        <w:left w:val="none" w:sz="0" w:space="0" w:color="auto"/>
        <w:bottom w:val="none" w:sz="0" w:space="0" w:color="auto"/>
        <w:right w:val="none" w:sz="0" w:space="0" w:color="auto"/>
      </w:divBdr>
    </w:div>
    <w:div w:id="2007900341">
      <w:bodyDiv w:val="1"/>
      <w:marLeft w:val="0"/>
      <w:marRight w:val="0"/>
      <w:marTop w:val="0"/>
      <w:marBottom w:val="0"/>
      <w:divBdr>
        <w:top w:val="none" w:sz="0" w:space="0" w:color="auto"/>
        <w:left w:val="none" w:sz="0" w:space="0" w:color="auto"/>
        <w:bottom w:val="none" w:sz="0" w:space="0" w:color="auto"/>
        <w:right w:val="none" w:sz="0" w:space="0" w:color="auto"/>
      </w:divBdr>
    </w:div>
    <w:div w:id="20337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ms.dia.govt.nz/DMS/Active/bsr.nsf/0/A9C779153BFB7200CC257D09006F172A/$file/4063613DA%20-%20DIA_Profile_Specialist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Information and Safety</TermName>
          <TermId xmlns="http://schemas.microsoft.com/office/infopath/2007/PartnerControls">f46e00c4-4bbc-4971-bb0a-23131ed002d3</TermId>
        </TermInfo>
      </Terms>
    </f0fdd756e0484c409e9468eddc974ab0>
    <DIAJobDescriptionStatus xmlns="ce404f2c-b0eb-493e-ac64-5bd3de555ba4">​Active</DIAJobDescriptionStatus>
    <_dlc_DocId xmlns="ce404f2c-b0eb-493e-ac64-5bd3de555ba4">4V7JHWUKMACF-711322680-677</_dlc_DocId>
    <TaxCatchAll xmlns="ce404f2c-b0eb-493e-ac64-5bd3de555ba4">
      <Value>1573</Value>
      <Value>18</Value>
      <Value>1580</Value>
      <Value>1</Value>
      <Value>4</Value>
    </TaxCatchAl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Safety, Security and Risk</TermName>
          <TermId xmlns="http://schemas.microsoft.com/office/infopath/2007/PartnerControls">17e71f96-0275-4d5c-9c07-a2a1df5a2371</TermId>
        </TermInfo>
      </Terms>
    </b4e599394e5a49b2b73defab99f3cfa7>
    <_dlc_DocIdUrl xmlns="ce404f2c-b0eb-493e-ac64-5bd3de555ba4">
      <Url>https://dia.cohesion.net.nz/Sites/PEO/JDE/JDS/_layouts/15/DocIdRedir.aspx?ID=4V7JHWUKMACF-711322680-677</Url>
      <Description>4V7JHWUKMACF-711322680-677</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Organisational Capability and Services (OCS)</TermName>
          <TermId xmlns="http://schemas.microsoft.com/office/infopath/2007/PartnerControls">8ef9872a-7e44-4b88-b2bd-fea41aece6d8</TermId>
        </TermInfo>
      </Terms>
    </bd91311754d44584aa154213d89a7877>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230B-D65A-4402-B4A1-6BF92E2BFBF7}">
  <ds:schemaRefs>
    <ds:schemaRef ds:uri="ce404f2c-b0eb-493e-ac64-5bd3de555ba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1be4277-2979-4a68-876d-b92b25fceece"/>
    <ds:schemaRef ds:uri="http://www.w3.org/XML/1998/namespace"/>
  </ds:schemaRefs>
</ds:datastoreItem>
</file>

<file path=customXml/itemProps2.xml><?xml version="1.0" encoding="utf-8"?>
<ds:datastoreItem xmlns:ds="http://schemas.openxmlformats.org/officeDocument/2006/customXml" ds:itemID="{C778B86C-B748-45BE-AA35-9B00FEB05A49}">
  <ds:schemaRefs>
    <ds:schemaRef ds:uri="http://schemas.microsoft.com/sharepoint/events"/>
  </ds:schemaRefs>
</ds:datastoreItem>
</file>

<file path=customXml/itemProps3.xml><?xml version="1.0" encoding="utf-8"?>
<ds:datastoreItem xmlns:ds="http://schemas.openxmlformats.org/officeDocument/2006/customXml" ds:itemID="{40FF6E3F-7C9C-4B1E-B8AA-5194A757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A0205-CBE7-4AF8-9652-E391FDD1573C}">
  <ds:schemaRefs>
    <ds:schemaRef ds:uri="http://schemas.microsoft.com/sharepoint/v3/contenttype/forms"/>
  </ds:schemaRefs>
</ds:datastoreItem>
</file>

<file path=customXml/itemProps5.xml><?xml version="1.0" encoding="utf-8"?>
<ds:datastoreItem xmlns:ds="http://schemas.openxmlformats.org/officeDocument/2006/customXml" ds:itemID="{90208769-831A-4CD3-9AFE-AAD7DC31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Senior Advisor Resilience and Recovery</vt:lpstr>
    </vt:vector>
  </TitlesOfParts>
  <Company>Department of Internal Affairs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Advisor Resilience and Recovery</dc:title>
  <dc:creator>Michelle Greenwood</dc:creator>
  <cp:keywords/>
  <cp:lastModifiedBy>Charlotte Sullivan</cp:lastModifiedBy>
  <cp:revision>6</cp:revision>
  <cp:lastPrinted>2017-04-06T22:17:00Z</cp:lastPrinted>
  <dcterms:created xsi:type="dcterms:W3CDTF">2018-06-06T23:45:00Z</dcterms:created>
  <dcterms:modified xsi:type="dcterms:W3CDTF">2020-03-05T01:02:00Z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AdministrationDocumentType">
    <vt:lpwstr/>
  </property>
  <property fmtid="{D5CDD505-2E9C-101B-9397-08002B2CF9AE}" pid="5" name="DIABranch">
    <vt:lpwstr>18;#Organisational Capability and Services (OCS)|8ef9872a-7e44-4b88-b2bd-fea41aece6d8</vt:lpwstr>
  </property>
  <property fmtid="{D5CDD505-2E9C-101B-9397-08002B2CF9AE}" pid="6" name="ContentTypeId">
    <vt:lpwstr>0x0101005496552013C0BA46BE88192D5C6EB20B0031F30CFD6B2244409318FB656FECFFE8006A587A2EFA5757408A2F29B137EB8D69</vt:lpwstr>
  </property>
  <property fmtid="{D5CDD505-2E9C-101B-9397-08002B2CF9AE}" pid="7" name="fa525ba192404975a66fed9c22b2ead5">
    <vt:lpwstr/>
  </property>
  <property fmtid="{D5CDD505-2E9C-101B-9397-08002B2CF9AE}" pid="8" name="C3Topic">
    <vt:lpwstr/>
  </property>
  <property fmtid="{D5CDD505-2E9C-101B-9397-08002B2CF9AE}" pid="9" name="k637144f3e274b809739df325940a5b6">
    <vt:lpwstr/>
  </property>
  <property fmtid="{D5CDD505-2E9C-101B-9397-08002B2CF9AE}" pid="10" name="DIABusinessUnit">
    <vt:lpwstr>1580;#Safety, Security and Risk|17e71f96-0275-4d5c-9c07-a2a1df5a2371</vt:lpwstr>
  </property>
  <property fmtid="{D5CDD505-2E9C-101B-9397-08002B2CF9AE}" pid="11" name="_dlc_DocIdItemGuid">
    <vt:lpwstr>6c05a734-0e5f-4a22-b5a4-f4b3d6d49c8b</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DIABusinessGroup">
    <vt:lpwstr>1573;#Information and Safety|f46e00c4-4bbc-4971-bb0a-23131ed002d3</vt:lpwstr>
  </property>
  <property fmtid="{D5CDD505-2E9C-101B-9397-08002B2CF9AE}" pid="15" name="DIAMeetingDocumentType">
    <vt:lpwstr/>
  </property>
</Properties>
</file>