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54FD" w14:textId="77777777" w:rsidR="008D4354" w:rsidRDefault="008D4354" w:rsidP="008D4354">
      <w:pPr>
        <w:pStyle w:val="Heading1"/>
      </w:pPr>
      <w:bookmarkStart w:id="0" w:name="_GoBack"/>
      <w:bookmarkEnd w:id="0"/>
      <w:r>
        <w:t>Senior Advisor Governance</w:t>
      </w:r>
    </w:p>
    <w:p w14:paraId="1BC03ED6" w14:textId="2E086D2E" w:rsidR="001676BD" w:rsidRDefault="008D4354" w:rsidP="008D4354">
      <w:pPr>
        <w:pStyle w:val="Heading1"/>
      </w:pPr>
      <w:r>
        <w:t>Governance, Risk and Assurance</w:t>
      </w:r>
      <w:r w:rsidR="001676BD" w:rsidRPr="001676BD">
        <w:t xml:space="preserve">, </w:t>
      </w:r>
      <w:r w:rsidR="00CE1236">
        <w:t xml:space="preserve">Organisational </w:t>
      </w:r>
      <w:r>
        <w:t xml:space="preserve">Strategy and </w:t>
      </w:r>
      <w:r w:rsidR="00CE1236">
        <w:t xml:space="preserve">Performance </w:t>
      </w:r>
      <w:r>
        <w:t>Branch</w:t>
      </w:r>
    </w:p>
    <w:p w14:paraId="39375D47" w14:textId="1451377C" w:rsidR="007F4A6F" w:rsidRPr="0095645E" w:rsidRDefault="008D4354" w:rsidP="007F4A6F">
      <w:pPr>
        <w:pStyle w:val="NormalWeb"/>
        <w:rPr>
          <w:rFonts w:asciiTheme="minorHAnsi" w:eastAsia="Times New Roman" w:hAnsiTheme="minorHAnsi" w:cstheme="minorHAnsi"/>
          <w:lang w:eastAsia="en-NZ"/>
        </w:rPr>
      </w:pPr>
      <w:r w:rsidRPr="0095645E">
        <w:rPr>
          <w:rFonts w:asciiTheme="minorHAnsi" w:hAnsiTheme="minorHAnsi" w:cstheme="minorHAnsi"/>
        </w:rPr>
        <w:t xml:space="preserve">As a member of the Governance, Risk &amp; Assurance (GR&amp;A) Team the Senior Advisor Governance contributes to the core roles of the </w:t>
      </w:r>
      <w:r w:rsidR="00CE1236">
        <w:rPr>
          <w:rFonts w:asciiTheme="minorHAnsi" w:hAnsiTheme="minorHAnsi" w:cstheme="minorHAnsi"/>
        </w:rPr>
        <w:t xml:space="preserve">Organisational </w:t>
      </w:r>
      <w:r w:rsidR="001E7086">
        <w:rPr>
          <w:rFonts w:asciiTheme="minorHAnsi" w:hAnsiTheme="minorHAnsi" w:cstheme="minorHAnsi"/>
        </w:rPr>
        <w:t>Strategy and Performance (OSP)</w:t>
      </w:r>
      <w:r w:rsidRPr="0095645E">
        <w:rPr>
          <w:rFonts w:asciiTheme="minorHAnsi" w:hAnsiTheme="minorHAnsi" w:cstheme="minorHAnsi"/>
        </w:rPr>
        <w:t xml:space="preserve"> branch</w:t>
      </w:r>
      <w:r w:rsidR="007F4A6F" w:rsidRPr="0095645E">
        <w:rPr>
          <w:rFonts w:asciiTheme="minorHAnsi" w:hAnsiTheme="minorHAnsi" w:cstheme="minorHAnsi"/>
        </w:rPr>
        <w:t xml:space="preserve">. </w:t>
      </w:r>
      <w:r w:rsidR="007F4A6F" w:rsidRPr="0095645E">
        <w:rPr>
          <w:rFonts w:asciiTheme="minorHAnsi" w:eastAsia="Times New Roman" w:hAnsiTheme="minorHAnsi" w:cstheme="minorHAnsi"/>
          <w:lang w:eastAsia="en-NZ"/>
        </w:rPr>
        <w:t xml:space="preserve">The governance team provides stewardship and support of the governance system for the Department.  They provide advice, assurance and support to the Manager, Governance, Risk &amp; Assurance (GRA), CE, ELT, Board and Sub- Committee Chairs, and senior leaders across the Department.  The senior advisor </w:t>
      </w:r>
      <w:r w:rsidR="00A80C85" w:rsidRPr="0095645E">
        <w:rPr>
          <w:rFonts w:asciiTheme="minorHAnsi" w:hAnsiTheme="minorHAnsi" w:cstheme="minorHAnsi"/>
        </w:rPr>
        <w:t xml:space="preserve">provides a variety of advisory and secretariat functions and contributes to the </w:t>
      </w:r>
      <w:r w:rsidR="007F4A6F" w:rsidRPr="0095645E">
        <w:rPr>
          <w:rFonts w:asciiTheme="minorHAnsi" w:hAnsiTheme="minorHAnsi" w:cstheme="minorHAnsi"/>
        </w:rPr>
        <w:t xml:space="preserve">continuous improvement </w:t>
      </w:r>
      <w:r w:rsidR="0095645E" w:rsidRPr="0095645E">
        <w:rPr>
          <w:rFonts w:asciiTheme="minorHAnsi" w:hAnsiTheme="minorHAnsi" w:cstheme="minorHAnsi"/>
        </w:rPr>
        <w:t xml:space="preserve">and project </w:t>
      </w:r>
      <w:r w:rsidR="007F4A6F" w:rsidRPr="0095645E">
        <w:rPr>
          <w:rFonts w:asciiTheme="minorHAnsi" w:hAnsiTheme="minorHAnsi" w:cstheme="minorHAnsi"/>
        </w:rPr>
        <w:t>initiatives</w:t>
      </w:r>
      <w:r w:rsidR="00A80C85" w:rsidRPr="0095645E">
        <w:rPr>
          <w:rFonts w:asciiTheme="minorHAnsi" w:hAnsiTheme="minorHAnsi" w:cstheme="minorHAnsi"/>
        </w:rPr>
        <w:t xml:space="preserve"> within the team</w:t>
      </w:r>
      <w:r w:rsidR="007F4A6F" w:rsidRPr="0095645E">
        <w:rPr>
          <w:rFonts w:asciiTheme="minorHAnsi" w:hAnsiTheme="minorHAnsi" w:cstheme="minorHAnsi"/>
        </w:rPr>
        <w:t xml:space="preserve">.  </w:t>
      </w:r>
    </w:p>
    <w:p w14:paraId="1C0235DA" w14:textId="77777777" w:rsidR="001676BD" w:rsidRPr="007F4A6F" w:rsidRDefault="001676BD" w:rsidP="001676BD">
      <w:pPr>
        <w:pStyle w:val="Bullet"/>
        <w:rPr>
          <w:rStyle w:val="BullethighlightedChar"/>
          <w:rFonts w:asciiTheme="minorHAnsi" w:hAnsiTheme="minorHAnsi" w:cstheme="minorHAnsi"/>
        </w:rPr>
      </w:pPr>
      <w:r w:rsidRPr="007F4A6F">
        <w:rPr>
          <w:rStyle w:val="BullethighlightedChar"/>
          <w:rFonts w:asciiTheme="minorHAnsi" w:hAnsiTheme="minorHAnsi" w:cstheme="minorHAnsi"/>
        </w:rPr>
        <w:t>Reporting to</w:t>
      </w:r>
      <w:r w:rsidRPr="007F4A6F">
        <w:rPr>
          <w:rFonts w:asciiTheme="minorHAnsi" w:hAnsiTheme="minorHAnsi" w:cstheme="minorHAnsi"/>
        </w:rPr>
        <w:t>:</w:t>
      </w:r>
      <w:r w:rsidR="00285621" w:rsidRPr="007F4A6F">
        <w:rPr>
          <w:rFonts w:asciiTheme="minorHAnsi" w:hAnsiTheme="minorHAnsi" w:cstheme="minorHAnsi"/>
        </w:rPr>
        <w:t xml:space="preserve"> </w:t>
      </w:r>
      <w:r w:rsidR="0067197D" w:rsidRPr="007F4A6F">
        <w:rPr>
          <w:rFonts w:asciiTheme="minorHAnsi" w:hAnsiTheme="minorHAnsi" w:cstheme="minorHAnsi"/>
        </w:rPr>
        <w:t>Manager Governance</w:t>
      </w:r>
    </w:p>
    <w:p w14:paraId="1BD8A37F" w14:textId="77777777" w:rsidR="001676BD" w:rsidRPr="007F4A6F" w:rsidRDefault="001676BD" w:rsidP="001676BD">
      <w:pPr>
        <w:pStyle w:val="Bullethighlighted"/>
        <w:rPr>
          <w:rStyle w:val="BullethighlightedChar"/>
          <w:rFonts w:asciiTheme="minorHAnsi" w:hAnsiTheme="minorHAnsi" w:cstheme="minorHAnsi"/>
        </w:rPr>
      </w:pPr>
      <w:r w:rsidRPr="007F4A6F">
        <w:rPr>
          <w:rFonts w:asciiTheme="minorHAnsi" w:hAnsiTheme="minorHAnsi" w:cstheme="minorHAnsi"/>
        </w:rPr>
        <w:t xml:space="preserve">Location: </w:t>
      </w:r>
      <w:r w:rsidR="0067197D" w:rsidRPr="007F4A6F">
        <w:rPr>
          <w:rFonts w:asciiTheme="minorHAnsi" w:hAnsiTheme="minorHAnsi" w:cstheme="minorHAnsi"/>
          <w:b w:val="0"/>
          <w:color w:val="auto"/>
        </w:rPr>
        <w:t>45 Pipitea Street, Wellington</w:t>
      </w:r>
    </w:p>
    <w:p w14:paraId="6104F48F" w14:textId="77777777" w:rsidR="001676BD" w:rsidRPr="007F4A6F" w:rsidRDefault="001C15EE" w:rsidP="001676BD">
      <w:pPr>
        <w:pStyle w:val="Bullet"/>
        <w:rPr>
          <w:rStyle w:val="BullethighlightedChar"/>
          <w:rFonts w:asciiTheme="minorHAnsi" w:hAnsiTheme="minorHAnsi" w:cstheme="minorHAnsi"/>
        </w:rPr>
      </w:pPr>
      <w:r w:rsidRPr="007F4A6F">
        <w:rPr>
          <w:rStyle w:val="BullethighlightedChar"/>
          <w:rFonts w:asciiTheme="minorHAnsi" w:hAnsiTheme="minorHAnsi" w:cstheme="minorHAnsi"/>
        </w:rPr>
        <w:t>Salary range</w:t>
      </w:r>
      <w:r w:rsidRPr="007F4A6F">
        <w:rPr>
          <w:rFonts w:asciiTheme="minorHAnsi" w:hAnsiTheme="minorHAnsi" w:cstheme="minorHAnsi"/>
        </w:rPr>
        <w:t>:</w:t>
      </w:r>
      <w:r w:rsidR="00877819" w:rsidRPr="007F4A6F">
        <w:rPr>
          <w:rFonts w:asciiTheme="minorHAnsi" w:hAnsiTheme="minorHAnsi" w:cstheme="minorHAnsi"/>
        </w:rPr>
        <w:t xml:space="preserve"> </w:t>
      </w:r>
      <w:r w:rsidR="0067197D" w:rsidRPr="007F4A6F">
        <w:rPr>
          <w:rFonts w:asciiTheme="minorHAnsi" w:hAnsiTheme="minorHAnsi" w:cstheme="minorHAnsi"/>
        </w:rPr>
        <w:t>Delivery H</w:t>
      </w:r>
    </w:p>
    <w:p w14:paraId="1626FF59"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711EB44C"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41F7C5F0" w14:textId="77777777" w:rsidR="001676BD" w:rsidRPr="00285621" w:rsidRDefault="00BF0C5F" w:rsidP="00285621">
      <w:r w:rsidRPr="00285621">
        <w:t>In other words, it’s all about helping to make New Zealand better for New Zealanders.</w:t>
      </w:r>
    </w:p>
    <w:p w14:paraId="59716B9E"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787AB766" w14:textId="77777777" w:rsidTr="006336F1">
        <w:tc>
          <w:tcPr>
            <w:tcW w:w="1701" w:type="dxa"/>
            <w:vMerge w:val="restart"/>
          </w:tcPr>
          <w:p w14:paraId="6F3A67A9"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EA7A160" w14:textId="77777777" w:rsidR="0046587F" w:rsidRPr="00DA62E8" w:rsidRDefault="0046587F" w:rsidP="00DA62E8">
            <w:pPr>
              <w:pStyle w:val="Heading3"/>
            </w:pPr>
            <w:r w:rsidRPr="00DA62E8">
              <w:t xml:space="preserve">We make it easy, we make it work </w:t>
            </w:r>
          </w:p>
          <w:p w14:paraId="6FE6B7C3" w14:textId="77777777" w:rsidR="0046587F" w:rsidRPr="00DA62E8" w:rsidRDefault="0046587F" w:rsidP="00DA62E8">
            <w:pPr>
              <w:pStyle w:val="Tablebullet"/>
            </w:pPr>
            <w:r w:rsidRPr="00DA62E8">
              <w:t>Customer centred</w:t>
            </w:r>
          </w:p>
          <w:p w14:paraId="0124B685" w14:textId="77777777" w:rsidR="0046587F" w:rsidRPr="00BF0C5F" w:rsidRDefault="0046587F" w:rsidP="00DA62E8">
            <w:pPr>
              <w:pStyle w:val="Tablebullet"/>
            </w:pPr>
            <w:r w:rsidRPr="00DA62E8">
              <w:t>Make things even better</w:t>
            </w:r>
          </w:p>
        </w:tc>
      </w:tr>
      <w:tr w:rsidR="0046587F" w14:paraId="41FD91A5" w14:textId="77777777" w:rsidTr="006336F1">
        <w:tc>
          <w:tcPr>
            <w:tcW w:w="1701" w:type="dxa"/>
            <w:vMerge/>
          </w:tcPr>
          <w:p w14:paraId="16DAAEE8" w14:textId="77777777" w:rsidR="0046587F" w:rsidRDefault="0046587F" w:rsidP="00DA62E8">
            <w:pPr>
              <w:pStyle w:val="Tablenormal0"/>
            </w:pPr>
          </w:p>
        </w:tc>
        <w:tc>
          <w:tcPr>
            <w:tcW w:w="8557" w:type="dxa"/>
          </w:tcPr>
          <w:p w14:paraId="5E74BA0B" w14:textId="77777777" w:rsidR="0046587F" w:rsidRPr="005D6013" w:rsidRDefault="0046587F" w:rsidP="00DA62E8">
            <w:pPr>
              <w:pStyle w:val="Heading3"/>
            </w:pPr>
            <w:r w:rsidRPr="005D6013">
              <w:t xml:space="preserve">We’re stronger together </w:t>
            </w:r>
          </w:p>
          <w:p w14:paraId="3F1227F0" w14:textId="77777777" w:rsidR="0046587F" w:rsidRPr="00DA62E8" w:rsidRDefault="0046587F" w:rsidP="00DA62E8">
            <w:pPr>
              <w:pStyle w:val="Tablebullet"/>
            </w:pPr>
            <w:r w:rsidRPr="00DA62E8">
              <w:t>Work as a team</w:t>
            </w:r>
          </w:p>
          <w:p w14:paraId="36930A44" w14:textId="77777777" w:rsidR="0046587F" w:rsidRPr="00BF0C5F" w:rsidRDefault="0046587F" w:rsidP="00DA62E8">
            <w:pPr>
              <w:pStyle w:val="Tablebullet"/>
            </w:pPr>
            <w:r w:rsidRPr="00DA62E8">
              <w:t>Value each other</w:t>
            </w:r>
          </w:p>
        </w:tc>
      </w:tr>
      <w:tr w:rsidR="0046587F" w14:paraId="49FCF247" w14:textId="77777777" w:rsidTr="006336F1">
        <w:tc>
          <w:tcPr>
            <w:tcW w:w="1701" w:type="dxa"/>
            <w:vMerge/>
          </w:tcPr>
          <w:p w14:paraId="37C93099" w14:textId="77777777" w:rsidR="0046587F" w:rsidRDefault="0046587F" w:rsidP="00DA62E8">
            <w:pPr>
              <w:pStyle w:val="Tablenormal0"/>
            </w:pPr>
          </w:p>
        </w:tc>
        <w:tc>
          <w:tcPr>
            <w:tcW w:w="8557" w:type="dxa"/>
          </w:tcPr>
          <w:p w14:paraId="3C5A2643" w14:textId="77777777" w:rsidR="0046587F" w:rsidRPr="005D6013" w:rsidRDefault="0046587F" w:rsidP="00DA62E8">
            <w:pPr>
              <w:pStyle w:val="Heading3"/>
            </w:pPr>
            <w:r w:rsidRPr="005D6013">
              <w:t xml:space="preserve">We take pride in what we do </w:t>
            </w:r>
          </w:p>
          <w:p w14:paraId="697AB985" w14:textId="77777777" w:rsidR="0046587F" w:rsidRPr="00DA62E8" w:rsidRDefault="0046587F" w:rsidP="00DA62E8">
            <w:pPr>
              <w:pStyle w:val="Tablebullet"/>
            </w:pPr>
            <w:r w:rsidRPr="00DA62E8">
              <w:t>Make a positive difference</w:t>
            </w:r>
          </w:p>
          <w:p w14:paraId="242C13B6" w14:textId="77777777" w:rsidR="0046587F" w:rsidRPr="00BF0C5F" w:rsidRDefault="0046587F" w:rsidP="00DA62E8">
            <w:pPr>
              <w:pStyle w:val="Tablebullet"/>
            </w:pPr>
            <w:r w:rsidRPr="00DA62E8">
              <w:t>Strive for excellence</w:t>
            </w:r>
          </w:p>
        </w:tc>
      </w:tr>
    </w:tbl>
    <w:p w14:paraId="07E75A60"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5182BA6A" w14:textId="77777777" w:rsidR="00C001F8" w:rsidRDefault="00C001F8" w:rsidP="00C001F8">
      <w:r>
        <w:t>Te Aka Taiwhenua – our Māori Strategic Framework – enables us to work effectively with Māori. Te Aka Taiwhenua is underpinned by our mātāpono – Kotahitanga, Manaakitanga, Whānaungatanga, He Tāngata.</w:t>
      </w:r>
    </w:p>
    <w:p w14:paraId="1F364E6D" w14:textId="77777777" w:rsidR="00DA62E8" w:rsidRDefault="00C001F8">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016B5DE1" w14:textId="77777777"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14:paraId="0EFD2FA6" w14:textId="77777777" w:rsidR="006713ED" w:rsidRDefault="006713ED" w:rsidP="00DA62E8">
      <w:pPr>
        <w:pStyle w:val="Tinyline"/>
      </w:pPr>
    </w:p>
    <w:p w14:paraId="22199B8B"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12533D59" w14:textId="77777777" w:rsidTr="003D175D">
        <w:trPr>
          <w:cantSplit/>
          <w:tblHeader/>
        </w:trPr>
        <w:tc>
          <w:tcPr>
            <w:tcW w:w="5812" w:type="dxa"/>
            <w:tcBorders>
              <w:bottom w:val="nil"/>
              <w:right w:val="single" w:sz="6" w:space="0" w:color="FFFFFF" w:themeColor="background1"/>
            </w:tcBorders>
            <w:shd w:val="clear" w:color="auto" w:fill="1F546B" w:themeFill="text2"/>
          </w:tcPr>
          <w:p w14:paraId="4B70F73A"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47C95874" w14:textId="77777777" w:rsidR="001C15EE" w:rsidRPr="006B2693" w:rsidRDefault="006B2693" w:rsidP="008023C3">
            <w:pPr>
              <w:pStyle w:val="Tableheading"/>
            </w:pPr>
            <w:r w:rsidRPr="006B2693">
              <w:t>As a result we will see</w:t>
            </w:r>
          </w:p>
        </w:tc>
      </w:tr>
      <w:tr w:rsidR="003D175D" w:rsidRPr="003D175D" w14:paraId="1DD33C4A"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6545B1" w14:textId="77777777" w:rsidR="00DD63E2" w:rsidRDefault="00DD63E2" w:rsidP="00DD63E2">
            <w:pPr>
              <w:pStyle w:val="TableParagraph"/>
              <w:ind w:left="100"/>
              <w:rPr>
                <w:b/>
                <w:sz w:val="24"/>
              </w:rPr>
            </w:pPr>
            <w:r>
              <w:rPr>
                <w:b/>
                <w:sz w:val="24"/>
              </w:rPr>
              <w:t>Governance Practice Management</w:t>
            </w:r>
          </w:p>
          <w:p w14:paraId="2E2F6048" w14:textId="77777777" w:rsidR="00DD63E2" w:rsidRDefault="00DD63E2" w:rsidP="00DD63E2">
            <w:pPr>
              <w:pStyle w:val="Tablebullet"/>
            </w:pPr>
            <w:r>
              <w:t>Ensure the CE, ELT and the External Advisory Committee are provided with appropriate</w:t>
            </w:r>
            <w:r>
              <w:rPr>
                <w:spacing w:val="-23"/>
              </w:rPr>
              <w:t xml:space="preserve"> </w:t>
            </w:r>
            <w:r>
              <w:t>secretariat and advisory</w:t>
            </w:r>
            <w:r>
              <w:rPr>
                <w:spacing w:val="-6"/>
              </w:rPr>
              <w:t xml:space="preserve"> </w:t>
            </w:r>
            <w:r>
              <w:t>services.</w:t>
            </w:r>
          </w:p>
          <w:p w14:paraId="6A8D80D9" w14:textId="77777777" w:rsidR="00DD63E2" w:rsidRDefault="00DD63E2" w:rsidP="00DD63E2">
            <w:pPr>
              <w:pStyle w:val="Tablebullet"/>
            </w:pPr>
            <w:r>
              <w:t>Provide analysis and quality assurance to ensure papers meet the requirements established by ELT and inform the Manager GR&amp;A on any issues</w:t>
            </w:r>
            <w:r>
              <w:rPr>
                <w:spacing w:val="-17"/>
              </w:rPr>
              <w:t xml:space="preserve"> </w:t>
            </w:r>
            <w:r>
              <w:t>arising.</w:t>
            </w:r>
          </w:p>
          <w:p w14:paraId="5194E4BD" w14:textId="77777777" w:rsidR="00DD63E2" w:rsidRDefault="00DD63E2" w:rsidP="00DD63E2">
            <w:pPr>
              <w:pStyle w:val="Tablebullet"/>
            </w:pPr>
            <w:r>
              <w:t>Contribute to processes for monitoring the health</w:t>
            </w:r>
            <w:r>
              <w:rPr>
                <w:spacing w:val="-24"/>
              </w:rPr>
              <w:t xml:space="preserve"> </w:t>
            </w:r>
            <w:r>
              <w:t>of the governance</w:t>
            </w:r>
            <w:r>
              <w:rPr>
                <w:spacing w:val="-7"/>
              </w:rPr>
              <w:t xml:space="preserve"> </w:t>
            </w:r>
            <w:r>
              <w:t>system.</w:t>
            </w:r>
          </w:p>
          <w:p w14:paraId="581813AE" w14:textId="77777777" w:rsidR="00DD63E2" w:rsidRDefault="00DD63E2" w:rsidP="00DD63E2">
            <w:pPr>
              <w:pStyle w:val="Tablebullet"/>
            </w:pPr>
            <w:r>
              <w:t>Contribute to the development, implementation and evaluation of governance frameworks, standards and processes</w:t>
            </w:r>
          </w:p>
          <w:p w14:paraId="2EB7DF11" w14:textId="77777777" w:rsidR="00DD63E2" w:rsidRDefault="00DD63E2" w:rsidP="00DD63E2">
            <w:pPr>
              <w:pStyle w:val="Tablebullet"/>
            </w:pPr>
            <w:r>
              <w:t>Lead and/or contribute to any governance</w:t>
            </w:r>
            <w:r>
              <w:rPr>
                <w:spacing w:val="-21"/>
              </w:rPr>
              <w:t xml:space="preserve"> </w:t>
            </w:r>
            <w:r>
              <w:t>related projects.</w:t>
            </w:r>
          </w:p>
          <w:p w14:paraId="5EF55562" w14:textId="5076E2E8" w:rsidR="003D175D" w:rsidRPr="003D175D" w:rsidRDefault="003D175D" w:rsidP="00DD63E2">
            <w:pPr>
              <w:pStyle w:val="Tablebullet"/>
            </w:pPr>
          </w:p>
        </w:tc>
        <w:tc>
          <w:tcPr>
            <w:tcW w:w="3935" w:type="dxa"/>
            <w:tcBorders>
              <w:top w:val="nil"/>
              <w:left w:val="single" w:sz="6" w:space="0" w:color="1F546B" w:themeColor="text2"/>
              <w:bottom w:val="single" w:sz="6" w:space="0" w:color="1F546B" w:themeColor="text2"/>
              <w:right w:val="nil"/>
            </w:tcBorders>
          </w:tcPr>
          <w:p w14:paraId="04D97203" w14:textId="77777777" w:rsidR="00DD63E2" w:rsidRDefault="00DD63E2" w:rsidP="00DD63E2">
            <w:pPr>
              <w:pStyle w:val="Tablebullet"/>
            </w:pPr>
            <w:r>
              <w:t>Incremental governance</w:t>
            </w:r>
            <w:r>
              <w:rPr>
                <w:spacing w:val="-9"/>
              </w:rPr>
              <w:t xml:space="preserve"> </w:t>
            </w:r>
            <w:r>
              <w:t>system improvements</w:t>
            </w:r>
          </w:p>
          <w:p w14:paraId="24F795AA" w14:textId="77777777" w:rsidR="00DD63E2" w:rsidRDefault="00DD63E2" w:rsidP="00DD63E2">
            <w:pPr>
              <w:pStyle w:val="Tablebullet"/>
            </w:pPr>
            <w:r>
              <w:t>Working collaboratively as a team with GR&amp;A and across</w:t>
            </w:r>
            <w:r>
              <w:rPr>
                <w:spacing w:val="-8"/>
              </w:rPr>
              <w:t xml:space="preserve"> </w:t>
            </w:r>
            <w:r>
              <w:t>team</w:t>
            </w:r>
          </w:p>
          <w:p w14:paraId="4935538E" w14:textId="77777777" w:rsidR="003D175D" w:rsidRPr="003D175D" w:rsidRDefault="00DD63E2" w:rsidP="00DD63E2">
            <w:pPr>
              <w:pStyle w:val="Tablebullet"/>
            </w:pPr>
            <w:r>
              <w:t>Enhanced reputation of</w:t>
            </w:r>
            <w:r>
              <w:rPr>
                <w:spacing w:val="-15"/>
              </w:rPr>
              <w:t xml:space="preserve"> </w:t>
            </w:r>
            <w:r>
              <w:t>the Governance</w:t>
            </w:r>
            <w:r>
              <w:rPr>
                <w:spacing w:val="-4"/>
              </w:rPr>
              <w:t xml:space="preserve"> </w:t>
            </w:r>
            <w:r>
              <w:t>team</w:t>
            </w:r>
          </w:p>
        </w:tc>
      </w:tr>
      <w:tr w:rsidR="0095645E" w:rsidRPr="003D175D" w14:paraId="4345238C" w14:textId="77777777" w:rsidTr="003D175D">
        <w:trPr>
          <w:cantSplit/>
        </w:trPr>
        <w:tc>
          <w:tcPr>
            <w:tcW w:w="5812" w:type="dxa"/>
            <w:tcBorders>
              <w:top w:val="nil"/>
              <w:left w:val="nil"/>
              <w:bottom w:val="single" w:sz="6" w:space="0" w:color="1F546B" w:themeColor="text2"/>
              <w:right w:val="single" w:sz="6" w:space="0" w:color="1F546B" w:themeColor="text2"/>
            </w:tcBorders>
          </w:tcPr>
          <w:p w14:paraId="4BBCA438" w14:textId="77777777" w:rsidR="0095645E" w:rsidRDefault="0095645E" w:rsidP="0095645E">
            <w:pPr>
              <w:pStyle w:val="TableParagraph"/>
              <w:ind w:left="100"/>
              <w:rPr>
                <w:b/>
                <w:sz w:val="24"/>
              </w:rPr>
            </w:pPr>
            <w:r>
              <w:rPr>
                <w:b/>
                <w:sz w:val="24"/>
              </w:rPr>
              <w:t>Relationship Management</w:t>
            </w:r>
          </w:p>
          <w:p w14:paraId="1EF4E12C" w14:textId="77777777" w:rsidR="0095645E" w:rsidRDefault="0095645E" w:rsidP="0095645E">
            <w:pPr>
              <w:pStyle w:val="Tablebullet"/>
            </w:pPr>
            <w:r>
              <w:t>Build and maintain effective relationships with managers and staff across the branch, and ELT members and other relevant internal and</w:t>
            </w:r>
            <w:r>
              <w:rPr>
                <w:spacing w:val="-18"/>
              </w:rPr>
              <w:t xml:space="preserve"> </w:t>
            </w:r>
            <w:r>
              <w:t>external stakeholders</w:t>
            </w:r>
          </w:p>
          <w:p w14:paraId="336F0CE2" w14:textId="77777777" w:rsidR="0095645E" w:rsidRDefault="0095645E" w:rsidP="0095645E">
            <w:pPr>
              <w:pStyle w:val="Tablebullet"/>
            </w:pPr>
            <w:r>
              <w:t>Liaise with and inform other teams within the S&amp;P Branch, in particular Strategy and Planning and EPMO teams who have a role in lifting the maturity of programme and project delivery governance, on relevant matters, ensuring a comprehensive Branch overview of whole of Department governance systems</w:t>
            </w:r>
          </w:p>
          <w:p w14:paraId="464E00E9" w14:textId="1D2497D5" w:rsidR="0095645E" w:rsidRDefault="0095645E" w:rsidP="0095645E">
            <w:pPr>
              <w:pStyle w:val="Tablebullet"/>
            </w:pPr>
            <w:r>
              <w:t xml:space="preserve">Liaise with cross Department stakeholders including the Business Support and </w:t>
            </w:r>
            <w:r w:rsidR="00881395">
              <w:t>B</w:t>
            </w:r>
            <w:r w:rsidR="008455F5">
              <w:t>usiness Development and Support (BDS)</w:t>
            </w:r>
            <w:r w:rsidR="00881395">
              <w:t xml:space="preserve"> Managers</w:t>
            </w:r>
          </w:p>
          <w:p w14:paraId="3985B712" w14:textId="77777777" w:rsidR="0095645E" w:rsidRPr="003D175D" w:rsidRDefault="0095645E" w:rsidP="0095645E">
            <w:pPr>
              <w:pStyle w:val="Tablebullet"/>
            </w:pPr>
            <w:r>
              <w:t>Act as a liaison with key internal and external stakeholders, aimed at enhancing the integrity and credibility of the governance function and</w:t>
            </w:r>
            <w:r>
              <w:rPr>
                <w:spacing w:val="-25"/>
              </w:rPr>
              <w:t xml:space="preserve"> </w:t>
            </w:r>
            <w:r>
              <w:t>ensuring alignment with good practice across the public and private</w:t>
            </w:r>
            <w:r>
              <w:rPr>
                <w:spacing w:val="-4"/>
              </w:rPr>
              <w:t xml:space="preserve"> </w:t>
            </w:r>
            <w:r>
              <w:t>sectors</w:t>
            </w:r>
          </w:p>
        </w:tc>
        <w:tc>
          <w:tcPr>
            <w:tcW w:w="3935" w:type="dxa"/>
            <w:tcBorders>
              <w:top w:val="nil"/>
              <w:left w:val="single" w:sz="6" w:space="0" w:color="1F546B" w:themeColor="text2"/>
              <w:bottom w:val="single" w:sz="6" w:space="0" w:color="1F546B" w:themeColor="text2"/>
              <w:right w:val="nil"/>
            </w:tcBorders>
          </w:tcPr>
          <w:p w14:paraId="6B22DDB9" w14:textId="77777777" w:rsidR="0095645E" w:rsidRDefault="0095645E" w:rsidP="0095645E">
            <w:pPr>
              <w:pStyle w:val="TableParagraph"/>
              <w:numPr>
                <w:ilvl w:val="0"/>
                <w:numId w:val="37"/>
              </w:numPr>
              <w:tabs>
                <w:tab w:val="left" w:pos="458"/>
                <w:tab w:val="left" w:pos="459"/>
              </w:tabs>
              <w:spacing w:before="46" w:line="290" w:lineRule="exact"/>
              <w:ind w:right="779"/>
              <w:rPr>
                <w:sz w:val="24"/>
              </w:rPr>
            </w:pPr>
            <w:r>
              <w:rPr>
                <w:sz w:val="24"/>
              </w:rPr>
              <w:t>Enhanced reputation of</w:t>
            </w:r>
            <w:r>
              <w:rPr>
                <w:spacing w:val="-15"/>
                <w:sz w:val="24"/>
              </w:rPr>
              <w:t xml:space="preserve"> </w:t>
            </w:r>
            <w:r>
              <w:rPr>
                <w:sz w:val="24"/>
              </w:rPr>
              <w:t>the Governance</w:t>
            </w:r>
            <w:r>
              <w:rPr>
                <w:spacing w:val="-4"/>
                <w:sz w:val="24"/>
              </w:rPr>
              <w:t xml:space="preserve"> </w:t>
            </w:r>
            <w:r>
              <w:rPr>
                <w:sz w:val="24"/>
              </w:rPr>
              <w:t>team</w:t>
            </w:r>
          </w:p>
          <w:p w14:paraId="33A104E2" w14:textId="77777777" w:rsidR="0095645E" w:rsidRDefault="0095645E" w:rsidP="0095645E">
            <w:pPr>
              <w:pStyle w:val="TableParagraph"/>
              <w:numPr>
                <w:ilvl w:val="0"/>
                <w:numId w:val="37"/>
              </w:numPr>
              <w:tabs>
                <w:tab w:val="left" w:pos="458"/>
                <w:tab w:val="left" w:pos="459"/>
              </w:tabs>
              <w:spacing w:before="49"/>
              <w:ind w:right="287"/>
              <w:rPr>
                <w:sz w:val="24"/>
              </w:rPr>
            </w:pPr>
            <w:r>
              <w:rPr>
                <w:sz w:val="24"/>
              </w:rPr>
              <w:t>Timely and accurate provision of secretariat services including all documentation prepared and presented on</w:t>
            </w:r>
            <w:r>
              <w:rPr>
                <w:spacing w:val="-5"/>
                <w:sz w:val="24"/>
              </w:rPr>
              <w:t xml:space="preserve"> </w:t>
            </w:r>
            <w:r>
              <w:rPr>
                <w:sz w:val="24"/>
              </w:rPr>
              <w:t>time</w:t>
            </w:r>
          </w:p>
        </w:tc>
      </w:tr>
      <w:tr w:rsidR="0095645E" w:rsidRPr="003D175D" w14:paraId="69ED6C2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4E719CB5" w14:textId="77777777" w:rsidR="00022A5E" w:rsidRPr="009367F4" w:rsidRDefault="00022A5E" w:rsidP="00022A5E">
            <w:pPr>
              <w:spacing w:before="100" w:beforeAutospacing="1" w:after="100" w:afterAutospacing="1"/>
              <w:rPr>
                <w:rFonts w:asciiTheme="minorHAnsi" w:eastAsia="Times New Roman" w:hAnsiTheme="minorHAnsi" w:cstheme="minorHAnsi"/>
                <w:b/>
                <w:lang w:eastAsia="en-NZ"/>
              </w:rPr>
            </w:pPr>
            <w:r w:rsidRPr="009367F4">
              <w:rPr>
                <w:rFonts w:asciiTheme="minorHAnsi" w:eastAsia="Times New Roman" w:hAnsiTheme="minorHAnsi" w:cstheme="minorHAnsi"/>
                <w:b/>
                <w:lang w:eastAsia="en-NZ"/>
              </w:rPr>
              <w:lastRenderedPageBreak/>
              <w:t xml:space="preserve">Programme Management  </w:t>
            </w:r>
          </w:p>
          <w:p w14:paraId="7795A657" w14:textId="77777777" w:rsidR="00022A5E" w:rsidRPr="009367F4" w:rsidRDefault="00022A5E" w:rsidP="00022A5E">
            <w:pPr>
              <w:spacing w:before="100" w:beforeAutospacing="1" w:after="100" w:afterAutospacing="1"/>
              <w:rPr>
                <w:rFonts w:asciiTheme="minorHAnsi" w:eastAsia="Times New Roman" w:hAnsiTheme="minorHAnsi" w:cstheme="minorHAnsi"/>
                <w:lang w:eastAsia="en-NZ"/>
              </w:rPr>
            </w:pPr>
            <w:r w:rsidRPr="009367F4">
              <w:rPr>
                <w:rFonts w:asciiTheme="minorHAnsi" w:eastAsia="Times New Roman" w:hAnsiTheme="minorHAnsi" w:cstheme="minorHAnsi"/>
                <w:lang w:eastAsia="en-NZ"/>
              </w:rPr>
              <w:t xml:space="preserve">• Provide motivation, guidance and coaching to the Governance Advisor to reinforce high standards with regards to work quality and adherence to DIA values  </w:t>
            </w:r>
          </w:p>
          <w:p w14:paraId="431B4899" w14:textId="77777777" w:rsidR="00022A5E" w:rsidRPr="009367F4" w:rsidRDefault="00022A5E" w:rsidP="00022A5E">
            <w:pPr>
              <w:spacing w:before="100" w:beforeAutospacing="1" w:after="100" w:afterAutospacing="1"/>
              <w:rPr>
                <w:rFonts w:asciiTheme="minorHAnsi" w:eastAsia="Times New Roman" w:hAnsiTheme="minorHAnsi" w:cstheme="minorHAnsi"/>
                <w:lang w:eastAsia="en-NZ"/>
              </w:rPr>
            </w:pPr>
            <w:r w:rsidRPr="009367F4">
              <w:rPr>
                <w:rFonts w:asciiTheme="minorHAnsi" w:eastAsia="Times New Roman" w:hAnsiTheme="minorHAnsi" w:cstheme="minorHAnsi"/>
                <w:lang w:eastAsia="en-NZ"/>
              </w:rPr>
              <w:t xml:space="preserve">• Contribute to continuous improvement processes, project initiatives and risk management  </w:t>
            </w:r>
          </w:p>
          <w:p w14:paraId="08BCEC21" w14:textId="77777777" w:rsidR="00022A5E" w:rsidRPr="009367F4" w:rsidRDefault="00022A5E" w:rsidP="00022A5E">
            <w:pPr>
              <w:spacing w:before="100" w:beforeAutospacing="1" w:after="100" w:afterAutospacing="1"/>
              <w:rPr>
                <w:rFonts w:asciiTheme="minorHAnsi" w:eastAsia="Times New Roman" w:hAnsiTheme="minorHAnsi" w:cstheme="minorHAnsi"/>
                <w:lang w:eastAsia="en-NZ"/>
              </w:rPr>
            </w:pPr>
            <w:r w:rsidRPr="009367F4">
              <w:rPr>
                <w:rFonts w:asciiTheme="minorHAnsi" w:eastAsia="Times New Roman" w:hAnsiTheme="minorHAnsi" w:cstheme="minorHAnsi"/>
                <w:lang w:eastAsia="en-NZ"/>
              </w:rPr>
              <w:t xml:space="preserve">• Work collaboratively and share information with others in the branch, so that others in the Department receive a seamless and comprehensive experience of its services    </w:t>
            </w:r>
          </w:p>
          <w:p w14:paraId="7869117A" w14:textId="1FE4A70E" w:rsidR="0095645E" w:rsidRPr="003D175D" w:rsidRDefault="00022A5E" w:rsidP="009367F4">
            <w:pPr>
              <w:spacing w:before="100" w:beforeAutospacing="1" w:after="100" w:afterAutospacing="1"/>
            </w:pPr>
            <w:r w:rsidRPr="009367F4">
              <w:rPr>
                <w:rFonts w:asciiTheme="minorHAnsi" w:eastAsia="Times New Roman" w:hAnsiTheme="minorHAnsi" w:cstheme="minorHAnsi"/>
                <w:lang w:eastAsia="en-NZ"/>
              </w:rPr>
              <w:t>• Model positive behaviours and the desired culture of the Department in the delivery of the governance work programme</w:t>
            </w:r>
          </w:p>
        </w:tc>
        <w:tc>
          <w:tcPr>
            <w:tcW w:w="3935" w:type="dxa"/>
            <w:tcBorders>
              <w:top w:val="nil"/>
              <w:left w:val="single" w:sz="6" w:space="0" w:color="1F546B" w:themeColor="text2"/>
              <w:bottom w:val="single" w:sz="6" w:space="0" w:color="1F546B" w:themeColor="text2"/>
              <w:right w:val="nil"/>
            </w:tcBorders>
          </w:tcPr>
          <w:p w14:paraId="66C335A2" w14:textId="71FFE4E5" w:rsidR="0095645E" w:rsidRPr="003D175D" w:rsidRDefault="00022A5E" w:rsidP="009367F4">
            <w:pPr>
              <w:spacing w:before="100" w:beforeAutospacing="1" w:after="100" w:afterAutospacing="1"/>
            </w:pPr>
            <w:r w:rsidRPr="00022A5E">
              <w:rPr>
                <w:rFonts w:ascii="Times New Roman" w:eastAsia="Times New Roman" w:hAnsi="Times New Roman"/>
                <w:lang w:eastAsia="en-NZ"/>
              </w:rPr>
              <w:t xml:space="preserve">•  </w:t>
            </w:r>
            <w:r w:rsidRPr="009367F4">
              <w:rPr>
                <w:rFonts w:asciiTheme="minorHAnsi" w:eastAsia="Times New Roman" w:hAnsiTheme="minorHAnsi" w:cstheme="minorHAnsi"/>
                <w:lang w:eastAsia="en-NZ"/>
              </w:rPr>
              <w:t xml:space="preserve">A trusted </w:t>
            </w:r>
            <w:r w:rsidR="008455F5">
              <w:rPr>
                <w:rFonts w:asciiTheme="minorHAnsi" w:eastAsia="Times New Roman" w:hAnsiTheme="minorHAnsi" w:cstheme="minorHAnsi"/>
                <w:lang w:eastAsia="en-NZ"/>
              </w:rPr>
              <w:t>S</w:t>
            </w:r>
            <w:r w:rsidRPr="009367F4">
              <w:rPr>
                <w:rFonts w:asciiTheme="minorHAnsi" w:eastAsia="Times New Roman" w:hAnsiTheme="minorHAnsi" w:cstheme="minorHAnsi"/>
                <w:lang w:eastAsia="en-NZ"/>
              </w:rPr>
              <w:t xml:space="preserve">enior </w:t>
            </w:r>
            <w:r w:rsidR="008455F5">
              <w:rPr>
                <w:rFonts w:asciiTheme="minorHAnsi" w:eastAsia="Times New Roman" w:hAnsiTheme="minorHAnsi" w:cstheme="minorHAnsi"/>
                <w:lang w:eastAsia="en-NZ"/>
              </w:rPr>
              <w:t>A</w:t>
            </w:r>
            <w:r w:rsidRPr="009367F4">
              <w:rPr>
                <w:rFonts w:asciiTheme="minorHAnsi" w:eastAsia="Times New Roman" w:hAnsiTheme="minorHAnsi" w:cstheme="minorHAnsi"/>
                <w:lang w:eastAsia="en-NZ"/>
              </w:rPr>
              <w:t>dvisor supporting the Manager Governance in the execution of work programme activities.</w:t>
            </w:r>
            <w:r w:rsidRPr="00022A5E">
              <w:rPr>
                <w:rFonts w:ascii="Times New Roman" w:eastAsia="Times New Roman" w:hAnsi="Times New Roman"/>
                <w:lang w:eastAsia="en-NZ"/>
              </w:rPr>
              <w:t xml:space="preserve">   </w:t>
            </w:r>
          </w:p>
        </w:tc>
      </w:tr>
      <w:tr w:rsidR="0095645E" w:rsidRPr="003D175D" w14:paraId="126588B8"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45C02DE" w14:textId="77777777" w:rsidR="0095645E" w:rsidRPr="003D175D" w:rsidRDefault="0095645E" w:rsidP="0095645E">
            <w:pPr>
              <w:pStyle w:val="Tablenormal0"/>
              <w:rPr>
                <w:b/>
                <w:bCs/>
              </w:rPr>
            </w:pPr>
            <w:r>
              <w:rPr>
                <w:b/>
                <w:bCs/>
              </w:rPr>
              <w:t>Health and safety (for self)</w:t>
            </w:r>
          </w:p>
          <w:p w14:paraId="68E6D68A" w14:textId="77777777" w:rsidR="0095645E" w:rsidRDefault="0095645E" w:rsidP="0095645E">
            <w:pPr>
              <w:pStyle w:val="Tablebullet"/>
            </w:pPr>
            <w:r>
              <w:t>Work safely and take responsibility for keeping self and colleagues free from harm</w:t>
            </w:r>
          </w:p>
          <w:p w14:paraId="7AC14871" w14:textId="77777777" w:rsidR="0095645E" w:rsidRDefault="0095645E" w:rsidP="0095645E">
            <w:pPr>
              <w:pStyle w:val="Tablebullet"/>
            </w:pPr>
            <w:r>
              <w:t>Report all incidents and hazards promptly</w:t>
            </w:r>
          </w:p>
          <w:p w14:paraId="64050EDC" w14:textId="77777777" w:rsidR="0095645E" w:rsidRDefault="0095645E" w:rsidP="0095645E">
            <w:pPr>
              <w:pStyle w:val="Tablebullet"/>
            </w:pPr>
            <w:r>
              <w:t>Know what to do in the event of an emergency</w:t>
            </w:r>
          </w:p>
          <w:p w14:paraId="3117F8D9" w14:textId="77777777" w:rsidR="0095645E" w:rsidRPr="003D175D" w:rsidRDefault="0095645E" w:rsidP="0095645E">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7FB25806" w14:textId="77777777" w:rsidR="0095645E" w:rsidRDefault="0095645E" w:rsidP="0095645E">
            <w:pPr>
              <w:pStyle w:val="Tablebullet"/>
            </w:pPr>
            <w:r w:rsidRPr="009161CB">
              <w:t>A safe and health</w:t>
            </w:r>
            <w:r>
              <w:t>y</w:t>
            </w:r>
            <w:r w:rsidRPr="009161CB">
              <w:t xml:space="preserve"> workplace for all people using our sites as a place of work.</w:t>
            </w:r>
          </w:p>
          <w:p w14:paraId="77E7CB0C" w14:textId="77777777" w:rsidR="0095645E" w:rsidRPr="003D175D" w:rsidRDefault="0095645E" w:rsidP="0095645E">
            <w:pPr>
              <w:pStyle w:val="Tablebullet"/>
            </w:pPr>
            <w:r w:rsidRPr="006B2693">
              <w:t>Health and</w:t>
            </w:r>
            <w:r>
              <w:t xml:space="preserve"> safety guidelines are followed</w:t>
            </w:r>
          </w:p>
        </w:tc>
      </w:tr>
    </w:tbl>
    <w:p w14:paraId="5C3AA9F9"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6B7FCF24" w14:textId="77777777" w:rsidTr="001D30D4">
        <w:trPr>
          <w:trHeight w:val="737"/>
          <w:tblHeader/>
        </w:trPr>
        <w:tc>
          <w:tcPr>
            <w:tcW w:w="5842" w:type="dxa"/>
            <w:gridSpan w:val="2"/>
            <w:tcBorders>
              <w:bottom w:val="single" w:sz="6" w:space="0" w:color="1F546B" w:themeColor="text2"/>
            </w:tcBorders>
          </w:tcPr>
          <w:p w14:paraId="519798F6"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3FD3F799"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41CE8771"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2B2ED23E"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3E446658"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6117254B" w14:textId="77777777" w:rsidR="006B2693" w:rsidRPr="00267EDC" w:rsidRDefault="006B2693" w:rsidP="00267EDC">
            <w:pPr>
              <w:pStyle w:val="Tableverticaltext"/>
            </w:pPr>
            <w:r w:rsidRPr="00267EDC">
              <w:t>Manage/</w:t>
            </w:r>
          </w:p>
          <w:p w14:paraId="4FFE9A97"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57D85B8" w14:textId="77777777" w:rsidR="006B2693" w:rsidRPr="00267EDC" w:rsidRDefault="006B2693" w:rsidP="00267EDC">
            <w:pPr>
              <w:pStyle w:val="Tableverticaltext"/>
            </w:pPr>
            <w:r w:rsidRPr="00267EDC">
              <w:t>Deliver to</w:t>
            </w:r>
          </w:p>
        </w:tc>
      </w:tr>
      <w:tr w:rsidR="006B2693" w:rsidRPr="00267EDC" w14:paraId="1BE87E68"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13A761E"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AD20EE0" w14:textId="77777777" w:rsidR="006B2693" w:rsidRPr="00267EDC" w:rsidRDefault="006B2693" w:rsidP="00267EDC"/>
        </w:tc>
        <w:tc>
          <w:tcPr>
            <w:tcW w:w="652" w:type="dxa"/>
            <w:vMerge/>
            <w:tcBorders>
              <w:bottom w:val="single" w:sz="6" w:space="0" w:color="1F546B" w:themeColor="text2"/>
            </w:tcBorders>
            <w:textDirection w:val="btLr"/>
          </w:tcPr>
          <w:p w14:paraId="47918722" w14:textId="77777777" w:rsidR="006B2693" w:rsidRPr="00267EDC" w:rsidRDefault="006B2693" w:rsidP="00267EDC"/>
        </w:tc>
        <w:tc>
          <w:tcPr>
            <w:tcW w:w="652" w:type="dxa"/>
            <w:vMerge/>
            <w:tcBorders>
              <w:bottom w:val="single" w:sz="6" w:space="0" w:color="1F546B" w:themeColor="text2"/>
            </w:tcBorders>
            <w:textDirection w:val="btLr"/>
          </w:tcPr>
          <w:p w14:paraId="34FA0270" w14:textId="77777777" w:rsidR="006B2693" w:rsidRPr="00267EDC" w:rsidRDefault="006B2693" w:rsidP="00267EDC"/>
        </w:tc>
        <w:tc>
          <w:tcPr>
            <w:tcW w:w="651" w:type="dxa"/>
            <w:vMerge/>
            <w:tcBorders>
              <w:bottom w:val="single" w:sz="6" w:space="0" w:color="1F546B" w:themeColor="text2"/>
            </w:tcBorders>
            <w:textDirection w:val="btLr"/>
          </w:tcPr>
          <w:p w14:paraId="763C496B" w14:textId="77777777" w:rsidR="006B2693" w:rsidRPr="00267EDC" w:rsidRDefault="006B2693" w:rsidP="00267EDC"/>
        </w:tc>
        <w:tc>
          <w:tcPr>
            <w:tcW w:w="652" w:type="dxa"/>
            <w:vMerge/>
            <w:tcBorders>
              <w:bottom w:val="single" w:sz="6" w:space="0" w:color="1F546B" w:themeColor="text2"/>
            </w:tcBorders>
            <w:textDirection w:val="btLr"/>
          </w:tcPr>
          <w:p w14:paraId="01D979B2"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0F1E63D4" w14:textId="77777777" w:rsidR="006B2693" w:rsidRPr="00267EDC" w:rsidRDefault="006B2693" w:rsidP="00267EDC"/>
        </w:tc>
      </w:tr>
      <w:tr w:rsidR="00A2420E" w:rsidRPr="001D30D4" w14:paraId="2F1E05B1" w14:textId="77777777" w:rsidTr="00687C39">
        <w:trPr>
          <w:trHeight w:val="345"/>
        </w:trPr>
        <w:tc>
          <w:tcPr>
            <w:tcW w:w="1134" w:type="dxa"/>
            <w:vMerge w:val="restart"/>
            <w:tcBorders>
              <w:top w:val="single" w:sz="6" w:space="0" w:color="1F546B" w:themeColor="text2"/>
              <w:right w:val="single" w:sz="6" w:space="0" w:color="1F546B" w:themeColor="text2"/>
            </w:tcBorders>
            <w:vAlign w:val="center"/>
          </w:tcPr>
          <w:p w14:paraId="414623B6" w14:textId="77777777" w:rsidR="00A2420E" w:rsidRPr="001D30D4" w:rsidRDefault="00A2420E" w:rsidP="001D30D4">
            <w:pPr>
              <w:pStyle w:val="Tablenormalcondensed"/>
            </w:pPr>
            <w:r w:rsidRPr="001D30D4">
              <w:t>Internal</w:t>
            </w:r>
          </w:p>
          <w:p w14:paraId="3AD4E558" w14:textId="00FD14D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46F2DD9" w14:textId="77777777" w:rsidR="00A2420E" w:rsidRPr="009367F4" w:rsidRDefault="00A2420E" w:rsidP="003D175D">
            <w:pPr>
              <w:pStyle w:val="Tablenormalcondensed"/>
            </w:pPr>
            <w:r w:rsidRPr="009367F4">
              <w:t>Manager Governance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3E9F40" w14:textId="77777777" w:rsidR="00A2420E" w:rsidRPr="009367F4" w:rsidRDefault="00A2420E" w:rsidP="001D30D4">
            <w:pPr>
              <w:pStyle w:val="Tablenormalcondensed"/>
            </w:pPr>
            <w:r w:rsidRPr="009367F4">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56FFD51" w14:textId="77777777" w:rsidR="00A2420E" w:rsidRPr="009367F4" w:rsidRDefault="00A2420E" w:rsidP="001D30D4">
            <w:pPr>
              <w:pStyle w:val="Tablenormalcondensed"/>
            </w:pPr>
            <w:r w:rsidRPr="009367F4">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455E691" w14:textId="77777777" w:rsidR="00A2420E" w:rsidRPr="009367F4" w:rsidRDefault="00A2420E"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7B0FDC" w14:textId="77777777" w:rsidR="00A2420E" w:rsidRPr="009367F4" w:rsidRDefault="00A2420E" w:rsidP="001D30D4">
            <w:pPr>
              <w:pStyle w:val="Tablenormalcondensed"/>
            </w:pPr>
            <w:r w:rsidRPr="009367F4">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21C33D5" w14:textId="77777777" w:rsidR="00A2420E" w:rsidRPr="009367F4" w:rsidRDefault="00A2420E"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EFD1BBD" w14:textId="77777777" w:rsidR="00A2420E" w:rsidRPr="009367F4" w:rsidRDefault="00A2420E" w:rsidP="001D30D4">
            <w:pPr>
              <w:pStyle w:val="Tablenormalcondensed"/>
            </w:pPr>
            <w:r w:rsidRPr="009367F4">
              <w:rPr>
                <w:rFonts w:ascii="Wingdings" w:hAnsi="Wingdings"/>
              </w:rPr>
              <w:t></w:t>
            </w:r>
          </w:p>
        </w:tc>
      </w:tr>
      <w:tr w:rsidR="00A2420E" w:rsidRPr="001D30D4" w14:paraId="785AC2D4" w14:textId="77777777" w:rsidTr="004E32BD">
        <w:trPr>
          <w:trHeight w:val="345"/>
        </w:trPr>
        <w:tc>
          <w:tcPr>
            <w:tcW w:w="1134" w:type="dxa"/>
            <w:vMerge/>
            <w:tcBorders>
              <w:right w:val="single" w:sz="6" w:space="0" w:color="1F546B" w:themeColor="text2"/>
            </w:tcBorders>
            <w:vAlign w:val="center"/>
          </w:tcPr>
          <w:p w14:paraId="2DCD1D96" w14:textId="7777777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0F4C581" w14:textId="08152219" w:rsidR="00A2420E" w:rsidRPr="009367F4" w:rsidRDefault="00A2420E" w:rsidP="00A2420E">
            <w:pPr>
              <w:pStyle w:val="Tablenormalcondensed"/>
            </w:pPr>
            <w:r w:rsidRPr="009367F4">
              <w:t>Manager Governance Risk and Assurance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949C0AD" w14:textId="2DC9D015" w:rsidR="00A2420E" w:rsidRPr="009367F4" w:rsidRDefault="00A2420E" w:rsidP="00A2420E">
            <w:pPr>
              <w:pStyle w:val="Tablenormalcondensed"/>
            </w:pPr>
            <w:r w:rsidRPr="009367F4">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D718C61" w14:textId="3240810C" w:rsidR="00A2420E" w:rsidRPr="009367F4" w:rsidRDefault="00A2420E" w:rsidP="00A2420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82355C7" w14:textId="6FA36929" w:rsidR="00A2420E" w:rsidRPr="009367F4" w:rsidRDefault="00A2420E" w:rsidP="00A2420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E9EACC1" w14:textId="6B062A23" w:rsidR="00A2420E" w:rsidRPr="009367F4" w:rsidRDefault="00A2420E" w:rsidP="00A2420E">
            <w:pPr>
              <w:pStyle w:val="Tablenormalcondensed"/>
            </w:pPr>
            <w:r w:rsidRPr="009367F4">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8562C73" w14:textId="668B7A06" w:rsidR="00A2420E" w:rsidRPr="009367F4" w:rsidRDefault="00A2420E" w:rsidP="00A2420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3CF4046E" w14:textId="0FD51505" w:rsidR="00A2420E" w:rsidRPr="009367F4" w:rsidRDefault="00A2420E" w:rsidP="00A2420E">
            <w:pPr>
              <w:pStyle w:val="Tablenormalcondensed"/>
            </w:pPr>
            <w:r w:rsidRPr="009367F4">
              <w:rPr>
                <w:rFonts w:ascii="Wingdings" w:hAnsi="Wingdings"/>
              </w:rPr>
              <w:t></w:t>
            </w:r>
          </w:p>
        </w:tc>
      </w:tr>
      <w:tr w:rsidR="00A2420E" w:rsidRPr="001D30D4" w14:paraId="4909FA8F" w14:textId="77777777" w:rsidTr="004E32BD">
        <w:trPr>
          <w:trHeight w:val="345"/>
        </w:trPr>
        <w:tc>
          <w:tcPr>
            <w:tcW w:w="1134" w:type="dxa"/>
            <w:vMerge/>
            <w:tcBorders>
              <w:right w:val="single" w:sz="6" w:space="0" w:color="1F546B" w:themeColor="text2"/>
            </w:tcBorders>
            <w:vAlign w:val="center"/>
          </w:tcPr>
          <w:p w14:paraId="4CF13B2C" w14:textId="7777777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D77E013" w14:textId="7C941650" w:rsidR="00A2420E" w:rsidRPr="001D30D4" w:rsidRDefault="00A2420E" w:rsidP="00A2420E">
            <w:pPr>
              <w:pStyle w:val="Tablenormalcondensed"/>
              <w:rPr>
                <w:highlight w:val="yellow"/>
              </w:rPr>
            </w:pPr>
            <w:r>
              <w:t>Governance Risk and Assurance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ADC119E" w14:textId="5828EF6D"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79CB6A3" w14:textId="357605E2"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21755B1" w14:textId="0BCC8E6A" w:rsidR="00A2420E" w:rsidRPr="003D175D" w:rsidRDefault="00A2420E" w:rsidP="00A2420E">
            <w:pPr>
              <w:pStyle w:val="Tablenormalcondensed"/>
              <w:rPr>
                <w:highlight w:val="yellow"/>
              </w:rPr>
            </w:pPr>
            <w:r>
              <w:rPr>
                <w:rFonts w:ascii="Wingdings" w:hAnsi="Wingdings"/>
              </w:rPr>
              <w: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43F5645" w14:textId="41802DC8"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CDD6F47" w14:textId="6D69311D" w:rsidR="00A2420E" w:rsidRPr="003D175D"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02EB4E" w14:textId="778E0F1B" w:rsidR="00A2420E" w:rsidRPr="003D175D" w:rsidRDefault="00A2420E" w:rsidP="00A2420E">
            <w:pPr>
              <w:pStyle w:val="Tablenormalcondensed"/>
              <w:rPr>
                <w:highlight w:val="yellow"/>
              </w:rPr>
            </w:pPr>
          </w:p>
        </w:tc>
      </w:tr>
      <w:tr w:rsidR="00A2420E" w:rsidRPr="001D30D4" w14:paraId="254835F2" w14:textId="77777777" w:rsidTr="004E32BD">
        <w:trPr>
          <w:trHeight w:val="233"/>
        </w:trPr>
        <w:tc>
          <w:tcPr>
            <w:tcW w:w="1134" w:type="dxa"/>
            <w:vMerge/>
            <w:tcBorders>
              <w:right w:val="single" w:sz="6" w:space="0" w:color="1F546B" w:themeColor="text2"/>
            </w:tcBorders>
            <w:vAlign w:val="center"/>
          </w:tcPr>
          <w:p w14:paraId="1EDE1705" w14:textId="7777777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4925D0D7" w14:textId="1FE67C77" w:rsidR="00A2420E" w:rsidRPr="001D30D4" w:rsidRDefault="00A2420E" w:rsidP="00A2420E">
            <w:pPr>
              <w:pStyle w:val="Tablenormalcondensed"/>
            </w:pPr>
            <w:r>
              <w:t>Strategy and Governance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AC9A085" w14:textId="6841AC3B"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41FF50B" w14:textId="3A794CD1"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90881F5" w14:textId="5A84D1A7" w:rsidR="00A2420E" w:rsidRPr="003D175D" w:rsidRDefault="00A2420E" w:rsidP="00A2420E">
            <w:pPr>
              <w:pStyle w:val="Tablenormalcondensed"/>
              <w:rPr>
                <w:highlight w:val="yellow"/>
              </w:rPr>
            </w:pPr>
            <w:r>
              <w:rPr>
                <w:rFonts w:ascii="Wingdings" w:hAnsi="Wingdings"/>
              </w:rPr>
              <w: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66E8179" w14:textId="346BEACE" w:rsidR="00A2420E" w:rsidRPr="003D175D"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869E742" w14:textId="2B1BB355" w:rsidR="00A2420E" w:rsidRPr="003D175D"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1D9A2D2" w14:textId="60BB9D31" w:rsidR="00A2420E" w:rsidRPr="003D175D" w:rsidRDefault="00A2420E" w:rsidP="00A2420E">
            <w:pPr>
              <w:pStyle w:val="Tablenormalcondensed"/>
              <w:rPr>
                <w:highlight w:val="yellow"/>
              </w:rPr>
            </w:pPr>
          </w:p>
        </w:tc>
      </w:tr>
      <w:tr w:rsidR="00A2420E" w:rsidRPr="001D30D4" w14:paraId="6D341B37" w14:textId="77777777" w:rsidTr="004E32BD">
        <w:trPr>
          <w:trHeight w:val="233"/>
        </w:trPr>
        <w:tc>
          <w:tcPr>
            <w:tcW w:w="1134" w:type="dxa"/>
            <w:vMerge/>
            <w:tcBorders>
              <w:bottom w:val="single" w:sz="6" w:space="0" w:color="1F546B" w:themeColor="text2"/>
              <w:right w:val="single" w:sz="6" w:space="0" w:color="1F546B" w:themeColor="text2"/>
            </w:tcBorders>
            <w:vAlign w:val="center"/>
          </w:tcPr>
          <w:p w14:paraId="5E4A4EB8" w14:textId="7777777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3BABF76" w14:textId="188A4E6C" w:rsidR="00A2420E" w:rsidRPr="001D30D4" w:rsidRDefault="00A2420E" w:rsidP="00A2420E">
            <w:pPr>
              <w:pStyle w:val="Tablenormalcondensed"/>
              <w:rPr>
                <w:highlight w:val="yellow"/>
              </w:rPr>
            </w:pPr>
            <w:r>
              <w:t>Branch Development and Support Managers, DCE’s, Chief Executive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E4FEACF" w14:textId="0CEF551D"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AEFD1FB" w14:textId="54A0DEC6"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D57484C" w14:textId="3A8F3656" w:rsidR="00A2420E" w:rsidRPr="003D175D" w:rsidRDefault="00A2420E" w:rsidP="00A2420E">
            <w:pPr>
              <w:pStyle w:val="Tablenormalcondensed"/>
              <w:rPr>
                <w:highlight w:val="yellow"/>
              </w:rPr>
            </w:pPr>
            <w:r>
              <w:rPr>
                <w:rFonts w:ascii="Wingdings" w:hAnsi="Wingdings"/>
              </w:rPr>
              <w: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87D7BB4" w14:textId="23244401" w:rsidR="00A2420E" w:rsidRPr="003D175D" w:rsidRDefault="00A2420E" w:rsidP="00A2420E">
            <w:pPr>
              <w:pStyle w:val="Tablenormalcondensed"/>
              <w:rPr>
                <w:highlight w:val="yellow"/>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0FF7809" w14:textId="4151AE22" w:rsidR="00A2420E" w:rsidRPr="003D175D"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3ACF4B2" w14:textId="75922B09" w:rsidR="00A2420E" w:rsidRPr="003D175D" w:rsidRDefault="00A2420E" w:rsidP="00A2420E">
            <w:pPr>
              <w:pStyle w:val="Tablenormalcondensed"/>
              <w:rPr>
                <w:highlight w:val="yellow"/>
              </w:rPr>
            </w:pPr>
          </w:p>
        </w:tc>
      </w:tr>
      <w:tr w:rsidR="00A2420E" w:rsidRPr="001D30D4" w14:paraId="43909225" w14:textId="77777777" w:rsidTr="00845A72">
        <w:trPr>
          <w:trHeight w:val="233"/>
        </w:trPr>
        <w:tc>
          <w:tcPr>
            <w:tcW w:w="1134" w:type="dxa"/>
            <w:vMerge w:val="restart"/>
            <w:tcBorders>
              <w:top w:val="single" w:sz="6" w:space="0" w:color="1F546B" w:themeColor="text2"/>
              <w:right w:val="single" w:sz="6" w:space="0" w:color="1F546B" w:themeColor="text2"/>
            </w:tcBorders>
            <w:vAlign w:val="center"/>
          </w:tcPr>
          <w:p w14:paraId="030502EC" w14:textId="77777777" w:rsidR="00A2420E" w:rsidRPr="001D30D4" w:rsidRDefault="00A2420E" w:rsidP="00A2420E">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24DC79C" w14:textId="77777777" w:rsidR="00A2420E" w:rsidRDefault="00A2420E" w:rsidP="00A2420E">
            <w:pPr>
              <w:pStyle w:val="Tablenormalcondensed"/>
            </w:pPr>
            <w:r>
              <w:t>External Advisory Committee members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CEFAE80" w14:textId="77777777" w:rsidR="00A2420E" w:rsidRDefault="00A2420E" w:rsidP="00A2420E">
            <w:pPr>
              <w:pStyle w:val="Tablenormalcondensed"/>
              <w:rPr>
                <w:rFonts w:ascii="Wingdings" w:hAnsi="Wingdings"/>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206349A" w14:textId="77777777" w:rsidR="00A2420E" w:rsidRDefault="00A2420E" w:rsidP="00A2420E">
            <w:pPr>
              <w:pStyle w:val="Tablenormalcondensed"/>
              <w:rPr>
                <w:rFonts w:ascii="Wingdings" w:hAnsi="Wingdings"/>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31CB217" w14:textId="77777777" w:rsidR="00A2420E" w:rsidRDefault="00A2420E" w:rsidP="00A2420E">
            <w:pPr>
              <w:pStyle w:val="Tablenormalcondensed"/>
              <w:rPr>
                <w:rFonts w:ascii="Wingdings" w:hAnsi="Wingdings"/>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EE8F466" w14:textId="77777777" w:rsidR="00A2420E" w:rsidRDefault="00A2420E" w:rsidP="00A2420E">
            <w:pPr>
              <w:pStyle w:val="Tablenormalcondensed"/>
              <w:rPr>
                <w:rFonts w:ascii="Wingdings" w:hAnsi="Wingdings"/>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9F4C7F2" w14:textId="77777777" w:rsidR="00A2420E" w:rsidRPr="003D175D" w:rsidDel="00A2420E"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0EA74F0E" w14:textId="77777777" w:rsidR="00A2420E" w:rsidRPr="003D175D" w:rsidDel="00A2420E" w:rsidRDefault="00A2420E" w:rsidP="00A2420E">
            <w:pPr>
              <w:pStyle w:val="Tablenormalcondensed"/>
              <w:rPr>
                <w:highlight w:val="yellow"/>
              </w:rPr>
            </w:pPr>
          </w:p>
        </w:tc>
      </w:tr>
      <w:tr w:rsidR="00A2420E" w:rsidRPr="001D30D4" w14:paraId="59D17DA6" w14:textId="77777777" w:rsidTr="00845A72">
        <w:trPr>
          <w:trHeight w:val="233"/>
        </w:trPr>
        <w:tc>
          <w:tcPr>
            <w:tcW w:w="1134" w:type="dxa"/>
            <w:vMerge/>
            <w:tcBorders>
              <w:bottom w:val="single" w:sz="6" w:space="0" w:color="1F546B" w:themeColor="text2"/>
              <w:right w:val="single" w:sz="6" w:space="0" w:color="1F546B" w:themeColor="text2"/>
            </w:tcBorders>
            <w:vAlign w:val="center"/>
          </w:tcPr>
          <w:p w14:paraId="1C4368EA" w14:textId="77777777" w:rsidR="00A2420E" w:rsidRPr="001D30D4" w:rsidRDefault="00A2420E" w:rsidP="00A2420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11C99D2" w14:textId="77777777" w:rsidR="00A2420E" w:rsidRDefault="00A2420E" w:rsidP="00A2420E">
            <w:pPr>
              <w:pStyle w:val="Tablenormalcondensed"/>
            </w:pPr>
            <w:r>
              <w:t>Key stakeholder and interest groups, eg interagency governance network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145EBB3" w14:textId="77777777" w:rsidR="00A2420E" w:rsidRDefault="00A2420E" w:rsidP="00A2420E">
            <w:pPr>
              <w:pStyle w:val="Tablenormalcondensed"/>
              <w:rPr>
                <w:rFonts w:ascii="Wingdings" w:hAnsi="Wingdings"/>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27006C6" w14:textId="77777777" w:rsidR="00A2420E" w:rsidRDefault="00A2420E" w:rsidP="00A2420E">
            <w:pPr>
              <w:pStyle w:val="Tablenormalcondensed"/>
              <w:rPr>
                <w:rFonts w:ascii="Wingdings" w:hAnsi="Wingdings"/>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EC09E1D" w14:textId="77777777" w:rsidR="00A2420E" w:rsidRDefault="00A2420E" w:rsidP="00A2420E">
            <w:pPr>
              <w:pStyle w:val="Tablenormalcondensed"/>
              <w:rPr>
                <w:rFonts w:ascii="Wingdings" w:hAnsi="Wingdings"/>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E7EA39C" w14:textId="77777777" w:rsidR="00A2420E" w:rsidRDefault="00A2420E" w:rsidP="00A2420E">
            <w:pPr>
              <w:pStyle w:val="Tablenormalcondensed"/>
              <w:rPr>
                <w:rFonts w:ascii="Wingdings" w:hAnsi="Wingdings"/>
              </w:rPr>
            </w:pPr>
            <w:r>
              <w:rPr>
                <w:rFonts w:ascii="Wingdings" w:hAnsi="Wingdings"/>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B57993A" w14:textId="77777777" w:rsidR="00A2420E" w:rsidRPr="003D175D" w:rsidDel="00A2420E" w:rsidRDefault="00A2420E" w:rsidP="00A2420E">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3A9DFBCB" w14:textId="77777777" w:rsidR="00A2420E" w:rsidRPr="003D175D" w:rsidDel="00A2420E" w:rsidRDefault="00A2420E" w:rsidP="00A2420E">
            <w:pPr>
              <w:pStyle w:val="Tablenormalcondensed"/>
              <w:rPr>
                <w:highlight w:val="yellow"/>
              </w:rPr>
            </w:pPr>
          </w:p>
        </w:tc>
      </w:tr>
    </w:tbl>
    <w:p w14:paraId="54CE4084" w14:textId="77777777" w:rsidR="008023C3" w:rsidRDefault="008023C3" w:rsidP="00ED37A7">
      <w:pPr>
        <w:pStyle w:val="Tinyline"/>
      </w:pPr>
    </w:p>
    <w:p w14:paraId="078DE16C"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ED37A7" w:rsidRPr="008023C3" w14:paraId="4A02A2CF"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90D9B10" w14:textId="77777777" w:rsidR="00ED37A7" w:rsidRPr="008023C3" w:rsidRDefault="00ED37A7" w:rsidP="00ED37A7">
            <w:pPr>
              <w:pStyle w:val="Tableheading"/>
            </w:pPr>
            <w:r>
              <w:t xml:space="preserve">Your delegations </w:t>
            </w:r>
          </w:p>
        </w:tc>
      </w:tr>
      <w:tr w:rsidR="00ED37A7" w:rsidRPr="008023C3" w14:paraId="2681C368" w14:textId="77777777" w:rsidTr="00880632">
        <w:tc>
          <w:tcPr>
            <w:tcW w:w="4873" w:type="dxa"/>
            <w:tcBorders>
              <w:top w:val="nil"/>
              <w:left w:val="nil"/>
              <w:bottom w:val="single" w:sz="6" w:space="0" w:color="1F546B" w:themeColor="text2"/>
              <w:right w:val="single" w:sz="6" w:space="0" w:color="1F546B" w:themeColor="text2"/>
            </w:tcBorders>
          </w:tcPr>
          <w:p w14:paraId="622CAB8D" w14:textId="77777777" w:rsidR="00ED37A7" w:rsidRPr="00356EDF" w:rsidRDefault="00ED37A7"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66BE1D95" w14:textId="1D52CDBA" w:rsidR="00ED37A7" w:rsidRPr="001D30D4" w:rsidRDefault="008455F5" w:rsidP="00ED37A7">
            <w:pPr>
              <w:pStyle w:val="Tablenormal0"/>
            </w:pPr>
            <w:r>
              <w:t xml:space="preserve"> Level Z</w:t>
            </w:r>
          </w:p>
        </w:tc>
      </w:tr>
      <w:tr w:rsidR="00ED37A7" w:rsidRPr="008023C3" w14:paraId="7F8B9019"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5B32444C" w14:textId="77777777" w:rsidR="00ED37A7" w:rsidRDefault="00ED37A7"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3272F772" w14:textId="405CF1A0" w:rsidR="00ED37A7" w:rsidRPr="001D30D4" w:rsidRDefault="008455F5" w:rsidP="00880632">
            <w:pPr>
              <w:pStyle w:val="Tablenormal0"/>
            </w:pPr>
            <w:r>
              <w:t xml:space="preserve"> Nil</w:t>
            </w:r>
          </w:p>
        </w:tc>
      </w:tr>
    </w:tbl>
    <w:p w14:paraId="587B42E0" w14:textId="77777777" w:rsidR="00ED37A7" w:rsidRDefault="00ED37A7" w:rsidP="00ED37A7">
      <w:pPr>
        <w:pStyle w:val="Tinyline"/>
      </w:pPr>
    </w:p>
    <w:p w14:paraId="0BC1690A"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50902804"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5E75A0F"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776B87B" w14:textId="77777777" w:rsidR="008023C3" w:rsidRPr="008023C3" w:rsidRDefault="008023C3" w:rsidP="00B90EE6">
            <w:pPr>
              <w:pStyle w:val="Tableheading"/>
            </w:pPr>
            <w:r w:rsidRPr="008023C3">
              <w:t>What you will bring specifically</w:t>
            </w:r>
          </w:p>
        </w:tc>
      </w:tr>
      <w:tr w:rsidR="008023C3" w:rsidRPr="008023C3" w14:paraId="60034AD7" w14:textId="77777777" w:rsidTr="001D30D4">
        <w:tc>
          <w:tcPr>
            <w:tcW w:w="4873" w:type="dxa"/>
            <w:tcBorders>
              <w:top w:val="nil"/>
              <w:left w:val="nil"/>
              <w:bottom w:val="single" w:sz="6" w:space="0" w:color="1F546B" w:themeColor="text2"/>
              <w:right w:val="single" w:sz="6" w:space="0" w:color="1F546B" w:themeColor="text2"/>
            </w:tcBorders>
          </w:tcPr>
          <w:p w14:paraId="455BF96B"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w:t>
            </w:r>
            <w:r w:rsidRPr="008023C3">
              <w:lastRenderedPageBreak/>
              <w:t xml:space="preserve">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Keys to Success:</w:t>
            </w:r>
          </w:p>
          <w:p w14:paraId="747C6126" w14:textId="77777777" w:rsidR="00820EC3" w:rsidRDefault="00820EC3" w:rsidP="00820EC3">
            <w:pPr>
              <w:pStyle w:val="Tablebullet"/>
            </w:pPr>
            <w:r>
              <w:t>Problem solving</w:t>
            </w:r>
          </w:p>
          <w:p w14:paraId="62A7E27E" w14:textId="77777777" w:rsidR="00820EC3" w:rsidRDefault="00820EC3" w:rsidP="00820EC3">
            <w:pPr>
              <w:pStyle w:val="Tablebullet"/>
            </w:pPr>
            <w:r>
              <w:t>Critical thinking</w:t>
            </w:r>
          </w:p>
          <w:p w14:paraId="5DA8E6FF" w14:textId="77777777" w:rsidR="00820EC3" w:rsidRDefault="00820EC3" w:rsidP="00820EC3">
            <w:pPr>
              <w:pStyle w:val="Tablebullet"/>
            </w:pPr>
            <w:r>
              <w:t>Interpersonal savvy</w:t>
            </w:r>
          </w:p>
          <w:p w14:paraId="33B29BB4" w14:textId="77777777" w:rsidR="00820EC3" w:rsidRDefault="00820EC3" w:rsidP="00820EC3">
            <w:pPr>
              <w:pStyle w:val="Tablebullet"/>
            </w:pPr>
            <w:r>
              <w:t>Navigating complexity</w:t>
            </w:r>
          </w:p>
          <w:p w14:paraId="660C24C6" w14:textId="77777777" w:rsidR="00820EC3" w:rsidRDefault="00820EC3" w:rsidP="00820EC3">
            <w:pPr>
              <w:pStyle w:val="Tablebullet"/>
            </w:pPr>
            <w:r>
              <w:t>Communicating with influence</w:t>
            </w:r>
          </w:p>
          <w:p w14:paraId="7AEBBEB5" w14:textId="77777777"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41000C7B" w14:textId="77777777" w:rsidR="008023C3" w:rsidRPr="001D30D4" w:rsidRDefault="008023C3" w:rsidP="001D30D4">
            <w:pPr>
              <w:pStyle w:val="Tablenormal0"/>
              <w:rPr>
                <w:b/>
                <w:bCs/>
              </w:rPr>
            </w:pPr>
            <w:r w:rsidRPr="001D30D4">
              <w:rPr>
                <w:b/>
                <w:bCs/>
              </w:rPr>
              <w:lastRenderedPageBreak/>
              <w:t xml:space="preserve">Experience: </w:t>
            </w:r>
          </w:p>
          <w:p w14:paraId="39EBA5B9" w14:textId="7508C790" w:rsidR="00A2420E" w:rsidRDefault="00A2420E" w:rsidP="00A2420E">
            <w:pPr>
              <w:pStyle w:val="Tablebullet"/>
            </w:pPr>
            <w:r>
              <w:t xml:space="preserve"> Proven experience in providing efficient and effective administration services </w:t>
            </w:r>
            <w:r>
              <w:lastRenderedPageBreak/>
              <w:t>preferably to a senior executive team, an advisory or statutory</w:t>
            </w:r>
            <w:r>
              <w:rPr>
                <w:spacing w:val="-12"/>
              </w:rPr>
              <w:t xml:space="preserve"> </w:t>
            </w:r>
            <w:r>
              <w:t>body</w:t>
            </w:r>
          </w:p>
          <w:p w14:paraId="20417849" w14:textId="77777777" w:rsidR="00A2420E" w:rsidRDefault="00A2420E" w:rsidP="00A2420E">
            <w:pPr>
              <w:pStyle w:val="Tablebullet"/>
            </w:pPr>
            <w:r>
              <w:t>Demonstrated experience in systems thinking and working at a whole of Department</w:t>
            </w:r>
            <w:r>
              <w:rPr>
                <w:spacing w:val="-4"/>
              </w:rPr>
              <w:t xml:space="preserve"> </w:t>
            </w:r>
            <w:r>
              <w:t>level</w:t>
            </w:r>
          </w:p>
          <w:p w14:paraId="0AB04657" w14:textId="77777777" w:rsidR="00A2420E" w:rsidRDefault="00A2420E" w:rsidP="00A2420E">
            <w:pPr>
              <w:pStyle w:val="Tablebullet"/>
            </w:pPr>
            <w:r>
              <w:t>Prior experience building and maintaining strong and effective working</w:t>
            </w:r>
            <w:r>
              <w:rPr>
                <w:spacing w:val="-21"/>
              </w:rPr>
              <w:t xml:space="preserve"> </w:t>
            </w:r>
            <w:r>
              <w:t>relationships</w:t>
            </w:r>
          </w:p>
          <w:p w14:paraId="27872577" w14:textId="77777777" w:rsidR="00A2420E" w:rsidRDefault="00A2420E" w:rsidP="00A2420E">
            <w:pPr>
              <w:pStyle w:val="Tablebullet"/>
            </w:pPr>
            <w:r>
              <w:t>Demonstrated experience in working collaboratively</w:t>
            </w:r>
          </w:p>
          <w:p w14:paraId="06B50001" w14:textId="77777777" w:rsidR="00A2420E" w:rsidRDefault="00A2420E" w:rsidP="00A2420E">
            <w:pPr>
              <w:pStyle w:val="Tablebullet"/>
            </w:pPr>
            <w:r>
              <w:t>Demonstrated experience in exercising sound judgement and</w:t>
            </w:r>
            <w:r>
              <w:rPr>
                <w:spacing w:val="-15"/>
              </w:rPr>
              <w:t xml:space="preserve"> </w:t>
            </w:r>
            <w:r>
              <w:t>tact</w:t>
            </w:r>
          </w:p>
          <w:p w14:paraId="68CDDB8F" w14:textId="77777777" w:rsidR="00A2420E" w:rsidRDefault="00A2420E" w:rsidP="00A2420E">
            <w:pPr>
              <w:pStyle w:val="Tablebullet"/>
            </w:pPr>
            <w:r>
              <w:t xml:space="preserve">Demonstrated experience in </w:t>
            </w:r>
            <w:r w:rsidR="00942E08">
              <w:t xml:space="preserve">programme </w:t>
            </w:r>
            <w:r w:rsidR="00AB6307">
              <w:t xml:space="preserve">delivery including </w:t>
            </w:r>
            <w:r>
              <w:t>process/system</w:t>
            </w:r>
            <w:r>
              <w:rPr>
                <w:spacing w:val="-9"/>
              </w:rPr>
              <w:t xml:space="preserve"> </w:t>
            </w:r>
            <w:r>
              <w:t>improvement</w:t>
            </w:r>
          </w:p>
          <w:p w14:paraId="3C6CFBCE" w14:textId="77777777" w:rsidR="008023C3" w:rsidRPr="001D30D4" w:rsidRDefault="008023C3" w:rsidP="009367F4">
            <w:pPr>
              <w:pStyle w:val="Tablebullet"/>
              <w:numPr>
                <w:ilvl w:val="0"/>
                <w:numId w:val="0"/>
              </w:numPr>
              <w:ind w:left="357"/>
            </w:pPr>
          </w:p>
          <w:p w14:paraId="3C04D52B" w14:textId="77777777" w:rsidR="008023C3" w:rsidRPr="001D30D4" w:rsidRDefault="008023C3" w:rsidP="001D30D4">
            <w:pPr>
              <w:pStyle w:val="Tablenormal0"/>
              <w:rPr>
                <w:b/>
                <w:bCs/>
              </w:rPr>
            </w:pPr>
            <w:r w:rsidRPr="001D30D4">
              <w:rPr>
                <w:b/>
                <w:bCs/>
              </w:rPr>
              <w:t>Knowledge:</w:t>
            </w:r>
          </w:p>
          <w:p w14:paraId="69DC01B6" w14:textId="77777777" w:rsidR="00A2420E" w:rsidRDefault="00A2420E" w:rsidP="00A2420E">
            <w:pPr>
              <w:pStyle w:val="Tablebullet"/>
            </w:pPr>
            <w:r>
              <w:t>Knowledge of Organisation</w:t>
            </w:r>
            <w:r>
              <w:rPr>
                <w:spacing w:val="-17"/>
              </w:rPr>
              <w:t xml:space="preserve"> </w:t>
            </w:r>
            <w:r>
              <w:t>governance structures and processes</w:t>
            </w:r>
            <w:r>
              <w:rPr>
                <w:spacing w:val="-13"/>
              </w:rPr>
              <w:t xml:space="preserve"> </w:t>
            </w:r>
            <w:r>
              <w:t>desirable</w:t>
            </w:r>
          </w:p>
          <w:p w14:paraId="383A87E6" w14:textId="77777777" w:rsidR="00A2420E" w:rsidRDefault="00A2420E" w:rsidP="00A2420E">
            <w:pPr>
              <w:pStyle w:val="Tablebullet"/>
            </w:pPr>
            <w:r>
              <w:t>Sound understanding of NZ Government and Parliamentary processes,</w:t>
            </w:r>
            <w:r>
              <w:rPr>
                <w:spacing w:val="-15"/>
              </w:rPr>
              <w:t xml:space="preserve"> </w:t>
            </w:r>
            <w:r>
              <w:t>conventions and</w:t>
            </w:r>
            <w:r>
              <w:rPr>
                <w:spacing w:val="-4"/>
              </w:rPr>
              <w:t xml:space="preserve"> </w:t>
            </w:r>
            <w:r>
              <w:t>functions</w:t>
            </w:r>
          </w:p>
          <w:p w14:paraId="387C41CC" w14:textId="77777777" w:rsidR="00A2420E" w:rsidRPr="001D30D4" w:rsidRDefault="00A2420E" w:rsidP="009367F4">
            <w:pPr>
              <w:pStyle w:val="Tablebullet"/>
              <w:numPr>
                <w:ilvl w:val="0"/>
                <w:numId w:val="0"/>
              </w:numPr>
              <w:ind w:left="357"/>
            </w:pPr>
          </w:p>
          <w:p w14:paraId="11F4EE47" w14:textId="77777777" w:rsidR="008023C3" w:rsidRPr="001D30D4" w:rsidRDefault="008023C3" w:rsidP="001D30D4">
            <w:pPr>
              <w:pStyle w:val="Tablenormal0"/>
              <w:rPr>
                <w:b/>
                <w:bCs/>
              </w:rPr>
            </w:pPr>
            <w:r w:rsidRPr="001D30D4">
              <w:rPr>
                <w:b/>
                <w:bCs/>
              </w:rPr>
              <w:t>Skills:</w:t>
            </w:r>
          </w:p>
          <w:p w14:paraId="7C65D1FC" w14:textId="6CAEE85B" w:rsidR="00A2420E" w:rsidRDefault="00A2420E" w:rsidP="00A2420E">
            <w:pPr>
              <w:pStyle w:val="TableParagraph"/>
              <w:numPr>
                <w:ilvl w:val="0"/>
                <w:numId w:val="38"/>
              </w:numPr>
              <w:tabs>
                <w:tab w:val="left" w:pos="460"/>
                <w:tab w:val="left" w:pos="461"/>
              </w:tabs>
              <w:spacing w:before="40"/>
              <w:ind w:hanging="357"/>
              <w:rPr>
                <w:sz w:val="24"/>
              </w:rPr>
            </w:pPr>
            <w:r>
              <w:rPr>
                <w:sz w:val="24"/>
              </w:rPr>
              <w:t>Excellent planning and priority setting</w:t>
            </w:r>
            <w:r>
              <w:rPr>
                <w:spacing w:val="-23"/>
                <w:sz w:val="24"/>
              </w:rPr>
              <w:t xml:space="preserve"> </w:t>
            </w:r>
            <w:r>
              <w:rPr>
                <w:sz w:val="24"/>
              </w:rPr>
              <w:t>skills</w:t>
            </w:r>
          </w:p>
          <w:p w14:paraId="6935B997" w14:textId="77777777" w:rsidR="00A2420E" w:rsidRDefault="00A2420E" w:rsidP="00A2420E">
            <w:pPr>
              <w:pStyle w:val="TableParagraph"/>
              <w:numPr>
                <w:ilvl w:val="0"/>
                <w:numId w:val="38"/>
              </w:numPr>
              <w:tabs>
                <w:tab w:val="left" w:pos="460"/>
                <w:tab w:val="left" w:pos="461"/>
              </w:tabs>
              <w:spacing w:before="40" w:line="290" w:lineRule="exact"/>
              <w:ind w:right="203" w:hanging="357"/>
              <w:rPr>
                <w:sz w:val="24"/>
              </w:rPr>
            </w:pPr>
            <w:r>
              <w:rPr>
                <w:sz w:val="24"/>
              </w:rPr>
              <w:t>Well-developed communication skills, both written and</w:t>
            </w:r>
            <w:r>
              <w:rPr>
                <w:spacing w:val="-6"/>
                <w:sz w:val="24"/>
              </w:rPr>
              <w:t xml:space="preserve"> </w:t>
            </w:r>
            <w:r>
              <w:rPr>
                <w:sz w:val="24"/>
              </w:rPr>
              <w:t>verbal</w:t>
            </w:r>
          </w:p>
          <w:p w14:paraId="4D1DB83C" w14:textId="77777777" w:rsidR="00A2420E" w:rsidRDefault="00A2420E" w:rsidP="00A2420E">
            <w:pPr>
              <w:pStyle w:val="TableParagraph"/>
              <w:numPr>
                <w:ilvl w:val="0"/>
                <w:numId w:val="38"/>
              </w:numPr>
              <w:tabs>
                <w:tab w:val="left" w:pos="460"/>
                <w:tab w:val="left" w:pos="461"/>
              </w:tabs>
              <w:spacing w:before="47"/>
              <w:ind w:right="660" w:hanging="357"/>
              <w:rPr>
                <w:sz w:val="24"/>
              </w:rPr>
            </w:pPr>
            <w:r>
              <w:rPr>
                <w:sz w:val="24"/>
              </w:rPr>
              <w:t>Ability to make sound judgements and identify and manage risks</w:t>
            </w:r>
            <w:r>
              <w:rPr>
                <w:spacing w:val="-9"/>
                <w:sz w:val="24"/>
              </w:rPr>
              <w:t xml:space="preserve"> </w:t>
            </w:r>
            <w:r>
              <w:rPr>
                <w:sz w:val="24"/>
              </w:rPr>
              <w:t>effectively</w:t>
            </w:r>
          </w:p>
          <w:p w14:paraId="0831C299" w14:textId="77777777" w:rsidR="00A2420E" w:rsidRDefault="00A2420E" w:rsidP="00A2420E">
            <w:pPr>
              <w:pStyle w:val="TableParagraph"/>
              <w:numPr>
                <w:ilvl w:val="0"/>
                <w:numId w:val="38"/>
              </w:numPr>
              <w:tabs>
                <w:tab w:val="left" w:pos="460"/>
                <w:tab w:val="left" w:pos="461"/>
              </w:tabs>
              <w:ind w:hanging="357"/>
              <w:rPr>
                <w:sz w:val="24"/>
              </w:rPr>
            </w:pPr>
            <w:r>
              <w:rPr>
                <w:sz w:val="24"/>
              </w:rPr>
              <w:t>Strong organisational</w:t>
            </w:r>
            <w:r>
              <w:rPr>
                <w:spacing w:val="-12"/>
                <w:sz w:val="24"/>
              </w:rPr>
              <w:t xml:space="preserve"> </w:t>
            </w:r>
            <w:r>
              <w:rPr>
                <w:sz w:val="24"/>
              </w:rPr>
              <w:t>skills</w:t>
            </w:r>
          </w:p>
          <w:p w14:paraId="7803112A" w14:textId="77777777" w:rsidR="00A2420E" w:rsidRDefault="00A2420E" w:rsidP="00A2420E">
            <w:pPr>
              <w:pStyle w:val="TableParagraph"/>
              <w:spacing w:before="0" w:line="290" w:lineRule="exact"/>
              <w:ind w:left="460"/>
              <w:rPr>
                <w:sz w:val="24"/>
              </w:rPr>
            </w:pPr>
            <w:r>
              <w:rPr>
                <w:sz w:val="24"/>
              </w:rPr>
              <w:t>Proficient minute-taking at a</w:t>
            </w:r>
            <w:r>
              <w:rPr>
                <w:spacing w:val="-12"/>
                <w:sz w:val="24"/>
              </w:rPr>
              <w:t xml:space="preserve"> </w:t>
            </w:r>
            <w:r>
              <w:rPr>
                <w:sz w:val="24"/>
              </w:rPr>
              <w:t>senior</w:t>
            </w:r>
            <w:r>
              <w:t xml:space="preserve"> </w:t>
            </w:r>
            <w:r>
              <w:rPr>
                <w:sz w:val="24"/>
              </w:rPr>
              <w:t>executive team level</w:t>
            </w:r>
          </w:p>
          <w:p w14:paraId="28B67132" w14:textId="77777777" w:rsidR="00A2420E" w:rsidRPr="009367F4" w:rsidRDefault="00A2420E" w:rsidP="00A2420E">
            <w:pPr>
              <w:pStyle w:val="TableParagraph"/>
              <w:numPr>
                <w:ilvl w:val="0"/>
                <w:numId w:val="39"/>
              </w:numPr>
              <w:tabs>
                <w:tab w:val="left" w:pos="460"/>
                <w:tab w:val="left" w:pos="461"/>
              </w:tabs>
              <w:spacing w:before="37" w:line="290" w:lineRule="exact"/>
              <w:ind w:right="982" w:hanging="357"/>
              <w:rPr>
                <w:sz w:val="24"/>
              </w:rPr>
            </w:pPr>
            <w:r>
              <w:rPr>
                <w:sz w:val="24"/>
              </w:rPr>
              <w:t xml:space="preserve">Demonstrated well developed </w:t>
            </w:r>
            <w:r w:rsidRPr="009367F4">
              <w:rPr>
                <w:sz w:val="24"/>
              </w:rPr>
              <w:t>self- management</w:t>
            </w:r>
            <w:r w:rsidRPr="009367F4">
              <w:rPr>
                <w:spacing w:val="-5"/>
                <w:sz w:val="24"/>
              </w:rPr>
              <w:t xml:space="preserve"> </w:t>
            </w:r>
            <w:r w:rsidRPr="009367F4">
              <w:rPr>
                <w:sz w:val="24"/>
              </w:rPr>
              <w:t>skills</w:t>
            </w:r>
          </w:p>
          <w:p w14:paraId="7A21453B" w14:textId="77777777" w:rsidR="00AB6307" w:rsidRPr="009367F4" w:rsidRDefault="00AB6307" w:rsidP="00A2420E">
            <w:pPr>
              <w:pStyle w:val="TableParagraph"/>
              <w:numPr>
                <w:ilvl w:val="0"/>
                <w:numId w:val="39"/>
              </w:numPr>
              <w:tabs>
                <w:tab w:val="left" w:pos="460"/>
                <w:tab w:val="left" w:pos="461"/>
              </w:tabs>
              <w:spacing w:before="37" w:line="290" w:lineRule="exact"/>
              <w:ind w:right="982" w:hanging="357"/>
              <w:rPr>
                <w:sz w:val="24"/>
              </w:rPr>
            </w:pPr>
            <w:r w:rsidRPr="009367F4">
              <w:rPr>
                <w:sz w:val="24"/>
              </w:rPr>
              <w:t>Able to prioritise competing deliverables</w:t>
            </w:r>
          </w:p>
          <w:p w14:paraId="6969DFDE" w14:textId="222BF4D8" w:rsidR="008023C3" w:rsidRDefault="00A2420E" w:rsidP="00A2420E">
            <w:pPr>
              <w:pStyle w:val="Tablebullet"/>
            </w:pPr>
            <w:r w:rsidRPr="009367F4">
              <w:t>Building strong</w:t>
            </w:r>
            <w:r>
              <w:t xml:space="preserve"> relationships across various stakeholders</w:t>
            </w:r>
          </w:p>
          <w:p w14:paraId="0B5CC90E" w14:textId="77777777" w:rsidR="009367F4" w:rsidRPr="001D30D4" w:rsidRDefault="009367F4" w:rsidP="009367F4">
            <w:pPr>
              <w:pStyle w:val="Tablebullet"/>
              <w:numPr>
                <w:ilvl w:val="0"/>
                <w:numId w:val="0"/>
              </w:numPr>
              <w:ind w:left="357"/>
            </w:pPr>
          </w:p>
          <w:p w14:paraId="41A9D63D" w14:textId="65B66ACC" w:rsidR="005876B3" w:rsidRPr="009367F4" w:rsidRDefault="008023C3" w:rsidP="009367F4">
            <w:pPr>
              <w:pStyle w:val="Tablenormal0"/>
              <w:rPr>
                <w:b/>
                <w:bCs/>
              </w:rPr>
            </w:pPr>
            <w:r w:rsidRPr="001D30D4">
              <w:rPr>
                <w:b/>
                <w:bCs/>
              </w:rPr>
              <w:t>Other requirements:</w:t>
            </w:r>
          </w:p>
          <w:p w14:paraId="2530E664" w14:textId="5417FA33" w:rsidR="005876B3" w:rsidRPr="001D30D4" w:rsidRDefault="005876B3" w:rsidP="005876B3">
            <w:pPr>
              <w:pStyle w:val="Tablebullet"/>
            </w:pPr>
            <w:r>
              <w:t>Relevant tertiary qualification or equivalent experience is required</w:t>
            </w:r>
          </w:p>
        </w:tc>
      </w:tr>
    </w:tbl>
    <w:p w14:paraId="795B0300"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3477" w14:textId="77777777" w:rsidR="00395667" w:rsidRDefault="00395667">
      <w:r>
        <w:separator/>
      </w:r>
    </w:p>
    <w:p w14:paraId="21D09ACA" w14:textId="77777777" w:rsidR="00395667" w:rsidRDefault="00395667"/>
    <w:p w14:paraId="5ACEFDE4" w14:textId="77777777" w:rsidR="00395667" w:rsidRDefault="00395667"/>
  </w:endnote>
  <w:endnote w:type="continuationSeparator" w:id="0">
    <w:p w14:paraId="55B06FD6" w14:textId="77777777" w:rsidR="00395667" w:rsidRDefault="00395667">
      <w:r>
        <w:continuationSeparator/>
      </w:r>
    </w:p>
    <w:p w14:paraId="6CBF4566" w14:textId="77777777" w:rsidR="00395667" w:rsidRDefault="00395667"/>
    <w:p w14:paraId="00D64009" w14:textId="77777777" w:rsidR="00395667" w:rsidRDefault="00395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5854"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r w:rsidR="00B94B10">
      <w:rPr>
        <w:noProof/>
      </w:rPr>
      <w:fldChar w:fldCharType="begin"/>
    </w:r>
    <w:r w:rsidR="00B94B10">
      <w:rPr>
        <w:noProof/>
      </w:rPr>
      <w:instrText xml:space="preserve"> NUMPAGES</w:instrText>
    </w:r>
    <w:r w:rsidR="00B94B10">
      <w:rPr>
        <w:noProof/>
      </w:rPr>
      <w:instrText xml:space="preserve">   \* MERGEFORMAT </w:instrText>
    </w:r>
    <w:r w:rsidR="00B94B10">
      <w:rPr>
        <w:noProof/>
      </w:rPr>
      <w:fldChar w:fldCharType="separate"/>
    </w:r>
    <w:r w:rsidR="002360F3">
      <w:rPr>
        <w:noProof/>
      </w:rPr>
      <w:t>2</w:t>
    </w:r>
    <w:r w:rsidR="00B94B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8D23"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1D9B" w14:textId="77777777" w:rsidR="00395667" w:rsidRDefault="00395667" w:rsidP="00FB1990">
      <w:pPr>
        <w:pStyle w:val="Spacer"/>
      </w:pPr>
      <w:r>
        <w:separator/>
      </w:r>
    </w:p>
    <w:p w14:paraId="4AB6B619" w14:textId="77777777" w:rsidR="00395667" w:rsidRDefault="00395667" w:rsidP="00FB1990">
      <w:pPr>
        <w:pStyle w:val="Spacer"/>
      </w:pPr>
    </w:p>
  </w:footnote>
  <w:footnote w:type="continuationSeparator" w:id="0">
    <w:p w14:paraId="402CBB4D" w14:textId="77777777" w:rsidR="00395667" w:rsidRDefault="00395667">
      <w:r>
        <w:continuationSeparator/>
      </w:r>
    </w:p>
    <w:p w14:paraId="0F1A50DE" w14:textId="77777777" w:rsidR="00395667" w:rsidRDefault="00395667"/>
    <w:p w14:paraId="7F9D0A98" w14:textId="77777777" w:rsidR="00395667" w:rsidRDefault="00395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298" w14:textId="77777777" w:rsidR="00735BFF" w:rsidRDefault="00735BFF" w:rsidP="00C40EAE">
    <w:pPr>
      <w:pStyle w:val="Header"/>
      <w:jc w:val="right"/>
    </w:pPr>
    <w:r w:rsidRPr="00CD3498">
      <w:tab/>
      <w:t>Te Tari Taiwhenua</w:t>
    </w:r>
  </w:p>
  <w:p w14:paraId="152EE3FC"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314B"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5A6007"/>
    <w:multiLevelType w:val="hybridMultilevel"/>
    <w:tmpl w:val="5F6AF926"/>
    <w:lvl w:ilvl="0" w:tplc="BDC4C204">
      <w:numFmt w:val="bullet"/>
      <w:lvlText w:val=""/>
      <w:lvlJc w:val="left"/>
      <w:pPr>
        <w:ind w:left="458" w:hanging="358"/>
      </w:pPr>
      <w:rPr>
        <w:rFonts w:ascii="Symbol" w:eastAsia="Symbol" w:hAnsi="Symbol" w:cs="Symbol" w:hint="default"/>
        <w:w w:val="100"/>
        <w:sz w:val="18"/>
        <w:szCs w:val="18"/>
      </w:rPr>
    </w:lvl>
    <w:lvl w:ilvl="1" w:tplc="BD68F76A">
      <w:numFmt w:val="bullet"/>
      <w:lvlText w:val="•"/>
      <w:lvlJc w:val="left"/>
      <w:pPr>
        <w:ind w:left="806" w:hanging="358"/>
      </w:pPr>
      <w:rPr>
        <w:rFonts w:hint="default"/>
      </w:rPr>
    </w:lvl>
    <w:lvl w:ilvl="2" w:tplc="5B287442">
      <w:numFmt w:val="bullet"/>
      <w:lvlText w:val="•"/>
      <w:lvlJc w:val="left"/>
      <w:pPr>
        <w:ind w:left="1152" w:hanging="358"/>
      </w:pPr>
      <w:rPr>
        <w:rFonts w:hint="default"/>
      </w:rPr>
    </w:lvl>
    <w:lvl w:ilvl="3" w:tplc="94668288">
      <w:numFmt w:val="bullet"/>
      <w:lvlText w:val="•"/>
      <w:lvlJc w:val="left"/>
      <w:pPr>
        <w:ind w:left="1498" w:hanging="358"/>
      </w:pPr>
      <w:rPr>
        <w:rFonts w:hint="default"/>
      </w:rPr>
    </w:lvl>
    <w:lvl w:ilvl="4" w:tplc="21484D5E">
      <w:numFmt w:val="bullet"/>
      <w:lvlText w:val="•"/>
      <w:lvlJc w:val="left"/>
      <w:pPr>
        <w:ind w:left="1844" w:hanging="358"/>
      </w:pPr>
      <w:rPr>
        <w:rFonts w:hint="default"/>
      </w:rPr>
    </w:lvl>
    <w:lvl w:ilvl="5" w:tplc="826E42CC">
      <w:numFmt w:val="bullet"/>
      <w:lvlText w:val="•"/>
      <w:lvlJc w:val="left"/>
      <w:pPr>
        <w:ind w:left="2191" w:hanging="358"/>
      </w:pPr>
      <w:rPr>
        <w:rFonts w:hint="default"/>
      </w:rPr>
    </w:lvl>
    <w:lvl w:ilvl="6" w:tplc="D6B8DF46">
      <w:numFmt w:val="bullet"/>
      <w:lvlText w:val="•"/>
      <w:lvlJc w:val="left"/>
      <w:pPr>
        <w:ind w:left="2537" w:hanging="358"/>
      </w:pPr>
      <w:rPr>
        <w:rFonts w:hint="default"/>
      </w:rPr>
    </w:lvl>
    <w:lvl w:ilvl="7" w:tplc="2A9C0A8C">
      <w:numFmt w:val="bullet"/>
      <w:lvlText w:val="•"/>
      <w:lvlJc w:val="left"/>
      <w:pPr>
        <w:ind w:left="2883" w:hanging="358"/>
      </w:pPr>
      <w:rPr>
        <w:rFonts w:hint="default"/>
      </w:rPr>
    </w:lvl>
    <w:lvl w:ilvl="8" w:tplc="18640FA0">
      <w:numFmt w:val="bullet"/>
      <w:lvlText w:val="•"/>
      <w:lvlJc w:val="left"/>
      <w:pPr>
        <w:ind w:left="3229" w:hanging="358"/>
      </w:pPr>
      <w:rPr>
        <w:rFonts w:hint="default"/>
      </w:rPr>
    </w:lvl>
  </w:abstractNum>
  <w:abstractNum w:abstractNumId="13" w15:restartNumberingAfterBreak="0">
    <w:nsid w:val="2EFB041F"/>
    <w:multiLevelType w:val="hybridMultilevel"/>
    <w:tmpl w:val="81065DF2"/>
    <w:lvl w:ilvl="0" w:tplc="77F2EC70">
      <w:numFmt w:val="bullet"/>
      <w:lvlText w:val=""/>
      <w:lvlJc w:val="left"/>
      <w:pPr>
        <w:ind w:left="458" w:hanging="359"/>
      </w:pPr>
      <w:rPr>
        <w:rFonts w:ascii="Symbol" w:eastAsia="Symbol" w:hAnsi="Symbol" w:cs="Symbol" w:hint="default"/>
        <w:w w:val="100"/>
        <w:sz w:val="18"/>
        <w:szCs w:val="18"/>
      </w:rPr>
    </w:lvl>
    <w:lvl w:ilvl="1" w:tplc="10ECADD2">
      <w:numFmt w:val="bullet"/>
      <w:lvlText w:val="•"/>
      <w:lvlJc w:val="left"/>
      <w:pPr>
        <w:ind w:left="993" w:hanging="359"/>
      </w:pPr>
      <w:rPr>
        <w:rFonts w:hint="default"/>
      </w:rPr>
    </w:lvl>
    <w:lvl w:ilvl="2" w:tplc="D2324B52">
      <w:numFmt w:val="bullet"/>
      <w:lvlText w:val="•"/>
      <w:lvlJc w:val="left"/>
      <w:pPr>
        <w:ind w:left="1527" w:hanging="359"/>
      </w:pPr>
      <w:rPr>
        <w:rFonts w:hint="default"/>
      </w:rPr>
    </w:lvl>
    <w:lvl w:ilvl="3" w:tplc="D9AE92CA">
      <w:numFmt w:val="bullet"/>
      <w:lvlText w:val="•"/>
      <w:lvlJc w:val="left"/>
      <w:pPr>
        <w:ind w:left="2061" w:hanging="359"/>
      </w:pPr>
      <w:rPr>
        <w:rFonts w:hint="default"/>
      </w:rPr>
    </w:lvl>
    <w:lvl w:ilvl="4" w:tplc="DFFA202E">
      <w:numFmt w:val="bullet"/>
      <w:lvlText w:val="•"/>
      <w:lvlJc w:val="left"/>
      <w:pPr>
        <w:ind w:left="2595" w:hanging="359"/>
      </w:pPr>
      <w:rPr>
        <w:rFonts w:hint="default"/>
      </w:rPr>
    </w:lvl>
    <w:lvl w:ilvl="5" w:tplc="C512E75E">
      <w:numFmt w:val="bullet"/>
      <w:lvlText w:val="•"/>
      <w:lvlJc w:val="left"/>
      <w:pPr>
        <w:ind w:left="3129" w:hanging="359"/>
      </w:pPr>
      <w:rPr>
        <w:rFonts w:hint="default"/>
      </w:rPr>
    </w:lvl>
    <w:lvl w:ilvl="6" w:tplc="7D42D44C">
      <w:numFmt w:val="bullet"/>
      <w:lvlText w:val="•"/>
      <w:lvlJc w:val="left"/>
      <w:pPr>
        <w:ind w:left="3663" w:hanging="359"/>
      </w:pPr>
      <w:rPr>
        <w:rFonts w:hint="default"/>
      </w:rPr>
    </w:lvl>
    <w:lvl w:ilvl="7" w:tplc="E222F864">
      <w:numFmt w:val="bullet"/>
      <w:lvlText w:val="•"/>
      <w:lvlJc w:val="left"/>
      <w:pPr>
        <w:ind w:left="4197" w:hanging="359"/>
      </w:pPr>
      <w:rPr>
        <w:rFonts w:hint="default"/>
      </w:rPr>
    </w:lvl>
    <w:lvl w:ilvl="8" w:tplc="95D47696">
      <w:numFmt w:val="bullet"/>
      <w:lvlText w:val="•"/>
      <w:lvlJc w:val="left"/>
      <w:pPr>
        <w:ind w:left="4731" w:hanging="359"/>
      </w:pPr>
      <w:rPr>
        <w:rFont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2FF4AF6"/>
    <w:multiLevelType w:val="hybridMultilevel"/>
    <w:tmpl w:val="F58ECE34"/>
    <w:lvl w:ilvl="0" w:tplc="57C822C6">
      <w:numFmt w:val="bullet"/>
      <w:lvlText w:val=""/>
      <w:lvlJc w:val="left"/>
      <w:pPr>
        <w:ind w:left="458" w:hanging="358"/>
      </w:pPr>
      <w:rPr>
        <w:rFonts w:ascii="Symbol" w:eastAsia="Symbol" w:hAnsi="Symbol" w:cs="Symbol" w:hint="default"/>
        <w:w w:val="100"/>
        <w:sz w:val="18"/>
        <w:szCs w:val="18"/>
      </w:rPr>
    </w:lvl>
    <w:lvl w:ilvl="1" w:tplc="552A837C">
      <w:numFmt w:val="bullet"/>
      <w:lvlText w:val="•"/>
      <w:lvlJc w:val="left"/>
      <w:pPr>
        <w:ind w:left="806" w:hanging="358"/>
      </w:pPr>
      <w:rPr>
        <w:rFonts w:hint="default"/>
      </w:rPr>
    </w:lvl>
    <w:lvl w:ilvl="2" w:tplc="A2A4F584">
      <w:numFmt w:val="bullet"/>
      <w:lvlText w:val="•"/>
      <w:lvlJc w:val="left"/>
      <w:pPr>
        <w:ind w:left="1152" w:hanging="358"/>
      </w:pPr>
      <w:rPr>
        <w:rFonts w:hint="default"/>
      </w:rPr>
    </w:lvl>
    <w:lvl w:ilvl="3" w:tplc="9326B6E2">
      <w:numFmt w:val="bullet"/>
      <w:lvlText w:val="•"/>
      <w:lvlJc w:val="left"/>
      <w:pPr>
        <w:ind w:left="1498" w:hanging="358"/>
      </w:pPr>
      <w:rPr>
        <w:rFonts w:hint="default"/>
      </w:rPr>
    </w:lvl>
    <w:lvl w:ilvl="4" w:tplc="96748FE8">
      <w:numFmt w:val="bullet"/>
      <w:lvlText w:val="•"/>
      <w:lvlJc w:val="left"/>
      <w:pPr>
        <w:ind w:left="1844" w:hanging="358"/>
      </w:pPr>
      <w:rPr>
        <w:rFonts w:hint="default"/>
      </w:rPr>
    </w:lvl>
    <w:lvl w:ilvl="5" w:tplc="3C52A508">
      <w:numFmt w:val="bullet"/>
      <w:lvlText w:val="•"/>
      <w:lvlJc w:val="left"/>
      <w:pPr>
        <w:ind w:left="2191" w:hanging="358"/>
      </w:pPr>
      <w:rPr>
        <w:rFonts w:hint="default"/>
      </w:rPr>
    </w:lvl>
    <w:lvl w:ilvl="6" w:tplc="A8B4964E">
      <w:numFmt w:val="bullet"/>
      <w:lvlText w:val="•"/>
      <w:lvlJc w:val="left"/>
      <w:pPr>
        <w:ind w:left="2537" w:hanging="358"/>
      </w:pPr>
      <w:rPr>
        <w:rFonts w:hint="default"/>
      </w:rPr>
    </w:lvl>
    <w:lvl w:ilvl="7" w:tplc="BCF82E00">
      <w:numFmt w:val="bullet"/>
      <w:lvlText w:val="•"/>
      <w:lvlJc w:val="left"/>
      <w:pPr>
        <w:ind w:left="2883" w:hanging="358"/>
      </w:pPr>
      <w:rPr>
        <w:rFonts w:hint="default"/>
      </w:rPr>
    </w:lvl>
    <w:lvl w:ilvl="8" w:tplc="3FA29EFA">
      <w:numFmt w:val="bullet"/>
      <w:lvlText w:val="•"/>
      <w:lvlJc w:val="left"/>
      <w:pPr>
        <w:ind w:left="3229" w:hanging="358"/>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A762BE7"/>
    <w:multiLevelType w:val="hybridMultilevel"/>
    <w:tmpl w:val="0BF64594"/>
    <w:lvl w:ilvl="0" w:tplc="B53EC44A">
      <w:numFmt w:val="bullet"/>
      <w:lvlText w:val=""/>
      <w:lvlJc w:val="left"/>
      <w:pPr>
        <w:ind w:left="458" w:hanging="359"/>
      </w:pPr>
      <w:rPr>
        <w:rFonts w:ascii="Symbol" w:eastAsia="Symbol" w:hAnsi="Symbol" w:cs="Symbol" w:hint="default"/>
        <w:w w:val="100"/>
        <w:sz w:val="18"/>
        <w:szCs w:val="18"/>
      </w:rPr>
    </w:lvl>
    <w:lvl w:ilvl="1" w:tplc="D5245816">
      <w:numFmt w:val="bullet"/>
      <w:lvlText w:val="•"/>
      <w:lvlJc w:val="left"/>
      <w:pPr>
        <w:ind w:left="993" w:hanging="359"/>
      </w:pPr>
      <w:rPr>
        <w:rFonts w:hint="default"/>
      </w:rPr>
    </w:lvl>
    <w:lvl w:ilvl="2" w:tplc="A05C50DC">
      <w:numFmt w:val="bullet"/>
      <w:lvlText w:val="•"/>
      <w:lvlJc w:val="left"/>
      <w:pPr>
        <w:ind w:left="1527" w:hanging="359"/>
      </w:pPr>
      <w:rPr>
        <w:rFonts w:hint="default"/>
      </w:rPr>
    </w:lvl>
    <w:lvl w:ilvl="3" w:tplc="73F28CEA">
      <w:numFmt w:val="bullet"/>
      <w:lvlText w:val="•"/>
      <w:lvlJc w:val="left"/>
      <w:pPr>
        <w:ind w:left="2061" w:hanging="359"/>
      </w:pPr>
      <w:rPr>
        <w:rFonts w:hint="default"/>
      </w:rPr>
    </w:lvl>
    <w:lvl w:ilvl="4" w:tplc="6CD0E37E">
      <w:numFmt w:val="bullet"/>
      <w:lvlText w:val="•"/>
      <w:lvlJc w:val="left"/>
      <w:pPr>
        <w:ind w:left="2595" w:hanging="359"/>
      </w:pPr>
      <w:rPr>
        <w:rFonts w:hint="default"/>
      </w:rPr>
    </w:lvl>
    <w:lvl w:ilvl="5" w:tplc="0BB45D2E">
      <w:numFmt w:val="bullet"/>
      <w:lvlText w:val="•"/>
      <w:lvlJc w:val="left"/>
      <w:pPr>
        <w:ind w:left="3129" w:hanging="359"/>
      </w:pPr>
      <w:rPr>
        <w:rFonts w:hint="default"/>
      </w:rPr>
    </w:lvl>
    <w:lvl w:ilvl="6" w:tplc="2F54220E">
      <w:numFmt w:val="bullet"/>
      <w:lvlText w:val="•"/>
      <w:lvlJc w:val="left"/>
      <w:pPr>
        <w:ind w:left="3663" w:hanging="359"/>
      </w:pPr>
      <w:rPr>
        <w:rFonts w:hint="default"/>
      </w:rPr>
    </w:lvl>
    <w:lvl w:ilvl="7" w:tplc="E4729F4A">
      <w:numFmt w:val="bullet"/>
      <w:lvlText w:val="•"/>
      <w:lvlJc w:val="left"/>
      <w:pPr>
        <w:ind w:left="4197" w:hanging="359"/>
      </w:pPr>
      <w:rPr>
        <w:rFonts w:hint="default"/>
      </w:rPr>
    </w:lvl>
    <w:lvl w:ilvl="8" w:tplc="58042E4C">
      <w:numFmt w:val="bullet"/>
      <w:lvlText w:val="•"/>
      <w:lvlJc w:val="left"/>
      <w:pPr>
        <w:ind w:left="4731" w:hanging="359"/>
      </w:pPr>
      <w:rPr>
        <w:rFont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4CA53CE"/>
    <w:multiLevelType w:val="hybridMultilevel"/>
    <w:tmpl w:val="8B3AC574"/>
    <w:lvl w:ilvl="0" w:tplc="78C0E71C">
      <w:numFmt w:val="bullet"/>
      <w:lvlText w:val=""/>
      <w:lvlJc w:val="left"/>
      <w:pPr>
        <w:ind w:left="460" w:hanging="358"/>
      </w:pPr>
      <w:rPr>
        <w:rFonts w:ascii="Symbol" w:eastAsia="Symbol" w:hAnsi="Symbol" w:cs="Symbol" w:hint="default"/>
        <w:w w:val="100"/>
        <w:sz w:val="18"/>
        <w:szCs w:val="18"/>
      </w:rPr>
    </w:lvl>
    <w:lvl w:ilvl="1" w:tplc="BF7A543C">
      <w:numFmt w:val="bullet"/>
      <w:lvlText w:val="•"/>
      <w:lvlJc w:val="left"/>
      <w:pPr>
        <w:ind w:left="901" w:hanging="358"/>
      </w:pPr>
      <w:rPr>
        <w:rFonts w:hint="default"/>
      </w:rPr>
    </w:lvl>
    <w:lvl w:ilvl="2" w:tplc="FAA092CC">
      <w:numFmt w:val="bullet"/>
      <w:lvlText w:val="•"/>
      <w:lvlJc w:val="left"/>
      <w:pPr>
        <w:ind w:left="1343" w:hanging="358"/>
      </w:pPr>
      <w:rPr>
        <w:rFonts w:hint="default"/>
      </w:rPr>
    </w:lvl>
    <w:lvl w:ilvl="3" w:tplc="32D8F01E">
      <w:numFmt w:val="bullet"/>
      <w:lvlText w:val="•"/>
      <w:lvlJc w:val="left"/>
      <w:pPr>
        <w:ind w:left="1784" w:hanging="358"/>
      </w:pPr>
      <w:rPr>
        <w:rFonts w:hint="default"/>
      </w:rPr>
    </w:lvl>
    <w:lvl w:ilvl="4" w:tplc="77B0180E">
      <w:numFmt w:val="bullet"/>
      <w:lvlText w:val="•"/>
      <w:lvlJc w:val="left"/>
      <w:pPr>
        <w:ind w:left="2226" w:hanging="358"/>
      </w:pPr>
      <w:rPr>
        <w:rFonts w:hint="default"/>
      </w:rPr>
    </w:lvl>
    <w:lvl w:ilvl="5" w:tplc="3F00440C">
      <w:numFmt w:val="bullet"/>
      <w:lvlText w:val="•"/>
      <w:lvlJc w:val="left"/>
      <w:pPr>
        <w:ind w:left="2667" w:hanging="358"/>
      </w:pPr>
      <w:rPr>
        <w:rFonts w:hint="default"/>
      </w:rPr>
    </w:lvl>
    <w:lvl w:ilvl="6" w:tplc="1736ED00">
      <w:numFmt w:val="bullet"/>
      <w:lvlText w:val="•"/>
      <w:lvlJc w:val="left"/>
      <w:pPr>
        <w:ind w:left="3109" w:hanging="358"/>
      </w:pPr>
      <w:rPr>
        <w:rFonts w:hint="default"/>
      </w:rPr>
    </w:lvl>
    <w:lvl w:ilvl="7" w:tplc="AD228B10">
      <w:numFmt w:val="bullet"/>
      <w:lvlText w:val="•"/>
      <w:lvlJc w:val="left"/>
      <w:pPr>
        <w:ind w:left="3550" w:hanging="358"/>
      </w:pPr>
      <w:rPr>
        <w:rFonts w:hint="default"/>
      </w:rPr>
    </w:lvl>
    <w:lvl w:ilvl="8" w:tplc="614AF0BA">
      <w:numFmt w:val="bullet"/>
      <w:lvlText w:val="•"/>
      <w:lvlJc w:val="left"/>
      <w:pPr>
        <w:ind w:left="3992" w:hanging="358"/>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15:restartNumberingAfterBreak="0">
    <w:nsid w:val="7AB00670"/>
    <w:multiLevelType w:val="hybridMultilevel"/>
    <w:tmpl w:val="29A86F54"/>
    <w:lvl w:ilvl="0" w:tplc="7D1E496C">
      <w:numFmt w:val="bullet"/>
      <w:lvlText w:val=""/>
      <w:lvlJc w:val="left"/>
      <w:pPr>
        <w:ind w:left="460" w:hanging="358"/>
      </w:pPr>
      <w:rPr>
        <w:rFonts w:ascii="Symbol" w:eastAsia="Symbol" w:hAnsi="Symbol" w:cs="Symbol" w:hint="default"/>
        <w:w w:val="100"/>
        <w:sz w:val="18"/>
        <w:szCs w:val="18"/>
      </w:rPr>
    </w:lvl>
    <w:lvl w:ilvl="1" w:tplc="0ADE63A2">
      <w:numFmt w:val="bullet"/>
      <w:lvlText w:val="•"/>
      <w:lvlJc w:val="left"/>
      <w:pPr>
        <w:ind w:left="900" w:hanging="358"/>
      </w:pPr>
      <w:rPr>
        <w:rFonts w:hint="default"/>
      </w:rPr>
    </w:lvl>
    <w:lvl w:ilvl="2" w:tplc="D1D45518">
      <w:numFmt w:val="bullet"/>
      <w:lvlText w:val="•"/>
      <w:lvlJc w:val="left"/>
      <w:pPr>
        <w:ind w:left="1340" w:hanging="358"/>
      </w:pPr>
      <w:rPr>
        <w:rFonts w:hint="default"/>
      </w:rPr>
    </w:lvl>
    <w:lvl w:ilvl="3" w:tplc="DDF80C3C">
      <w:numFmt w:val="bullet"/>
      <w:lvlText w:val="•"/>
      <w:lvlJc w:val="left"/>
      <w:pPr>
        <w:ind w:left="1781" w:hanging="358"/>
      </w:pPr>
      <w:rPr>
        <w:rFonts w:hint="default"/>
      </w:rPr>
    </w:lvl>
    <w:lvl w:ilvl="4" w:tplc="C41AB8B4">
      <w:numFmt w:val="bullet"/>
      <w:lvlText w:val="•"/>
      <w:lvlJc w:val="left"/>
      <w:pPr>
        <w:ind w:left="2221" w:hanging="358"/>
      </w:pPr>
      <w:rPr>
        <w:rFonts w:hint="default"/>
      </w:rPr>
    </w:lvl>
    <w:lvl w:ilvl="5" w:tplc="85CEB29A">
      <w:numFmt w:val="bullet"/>
      <w:lvlText w:val="•"/>
      <w:lvlJc w:val="left"/>
      <w:pPr>
        <w:ind w:left="2661" w:hanging="358"/>
      </w:pPr>
      <w:rPr>
        <w:rFonts w:hint="default"/>
      </w:rPr>
    </w:lvl>
    <w:lvl w:ilvl="6" w:tplc="53A0AF1E">
      <w:numFmt w:val="bullet"/>
      <w:lvlText w:val="•"/>
      <w:lvlJc w:val="left"/>
      <w:pPr>
        <w:ind w:left="3102" w:hanging="358"/>
      </w:pPr>
      <w:rPr>
        <w:rFonts w:hint="default"/>
      </w:rPr>
    </w:lvl>
    <w:lvl w:ilvl="7" w:tplc="860E682A">
      <w:numFmt w:val="bullet"/>
      <w:lvlText w:val="•"/>
      <w:lvlJc w:val="left"/>
      <w:pPr>
        <w:ind w:left="3542" w:hanging="358"/>
      </w:pPr>
      <w:rPr>
        <w:rFonts w:hint="default"/>
      </w:rPr>
    </w:lvl>
    <w:lvl w:ilvl="8" w:tplc="B2E0E92C">
      <w:numFmt w:val="bullet"/>
      <w:lvlText w:val="•"/>
      <w:lvlJc w:val="left"/>
      <w:pPr>
        <w:ind w:left="3982" w:hanging="358"/>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3"/>
  </w:num>
  <w:num w:numId="9">
    <w:abstractNumId w:val="16"/>
  </w:num>
  <w:num w:numId="10">
    <w:abstractNumId w:val="10"/>
  </w:num>
  <w:num w:numId="11">
    <w:abstractNumId w:val="24"/>
  </w:num>
  <w:num w:numId="12">
    <w:abstractNumId w:val="27"/>
  </w:num>
  <w:num w:numId="13">
    <w:abstractNumId w:val="29"/>
  </w:num>
  <w:num w:numId="14">
    <w:abstractNumId w:val="7"/>
  </w:num>
  <w:num w:numId="15">
    <w:abstractNumId w:val="14"/>
  </w:num>
  <w:num w:numId="16">
    <w:abstractNumId w:val="30"/>
  </w:num>
  <w:num w:numId="17">
    <w:abstractNumId w:val="28"/>
  </w:num>
  <w:num w:numId="18">
    <w:abstractNumId w:val="26"/>
  </w:num>
  <w:num w:numId="19">
    <w:abstractNumId w:val="17"/>
  </w:num>
  <w:num w:numId="20">
    <w:abstractNumId w:val="15"/>
  </w:num>
  <w:num w:numId="21">
    <w:abstractNumId w:val="9"/>
  </w:num>
  <w:num w:numId="22">
    <w:abstractNumId w:val="6"/>
  </w:num>
  <w:num w:numId="23">
    <w:abstractNumId w:val="11"/>
  </w:num>
  <w:num w:numId="24">
    <w:abstractNumId w:val="8"/>
  </w:num>
  <w:num w:numId="25">
    <w:abstractNumId w:val="21"/>
  </w:num>
  <w:num w:numId="26">
    <w:abstractNumId w:val="20"/>
  </w:num>
  <w:num w:numId="27">
    <w:abstractNumId w:val="24"/>
  </w:num>
  <w:num w:numId="28">
    <w:abstractNumId w:val="27"/>
  </w:num>
  <w:num w:numId="29">
    <w:abstractNumId w:val="24"/>
  </w:num>
  <w:num w:numId="30">
    <w:abstractNumId w:val="24"/>
  </w:num>
  <w:num w:numId="31">
    <w:abstractNumId w:val="27"/>
  </w:num>
  <w:num w:numId="32">
    <w:abstractNumId w:val="27"/>
  </w:num>
  <w:num w:numId="33">
    <w:abstractNumId w:val="27"/>
  </w:num>
  <w:num w:numId="34">
    <w:abstractNumId w:val="18"/>
  </w:num>
  <w:num w:numId="35">
    <w:abstractNumId w:val="13"/>
  </w:num>
  <w:num w:numId="36">
    <w:abstractNumId w:val="22"/>
  </w:num>
  <w:num w:numId="37">
    <w:abstractNumId w:val="12"/>
  </w:num>
  <w:num w:numId="38">
    <w:abstractNumId w:val="25"/>
  </w:num>
  <w:num w:numId="3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4354"/>
    <w:rsid w:val="00003360"/>
    <w:rsid w:val="00003FC7"/>
    <w:rsid w:val="00005919"/>
    <w:rsid w:val="00007C42"/>
    <w:rsid w:val="00015020"/>
    <w:rsid w:val="0001647B"/>
    <w:rsid w:val="00020010"/>
    <w:rsid w:val="00022A5E"/>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E7086"/>
    <w:rsid w:val="001F0724"/>
    <w:rsid w:val="002007DF"/>
    <w:rsid w:val="00205FE8"/>
    <w:rsid w:val="00206BA3"/>
    <w:rsid w:val="00215160"/>
    <w:rsid w:val="002224B4"/>
    <w:rsid w:val="00226D5E"/>
    <w:rsid w:val="002360F3"/>
    <w:rsid w:val="00237A3D"/>
    <w:rsid w:val="00240E83"/>
    <w:rsid w:val="002502D1"/>
    <w:rsid w:val="00255E1D"/>
    <w:rsid w:val="00260A17"/>
    <w:rsid w:val="00264A7B"/>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5667"/>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876B3"/>
    <w:rsid w:val="00594AAA"/>
    <w:rsid w:val="00595B33"/>
    <w:rsid w:val="0059662F"/>
    <w:rsid w:val="00596858"/>
    <w:rsid w:val="005A2652"/>
    <w:rsid w:val="005B7254"/>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197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07BF"/>
    <w:rsid w:val="007B3C61"/>
    <w:rsid w:val="007D1918"/>
    <w:rsid w:val="007F03F2"/>
    <w:rsid w:val="007F4A6F"/>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55F5"/>
    <w:rsid w:val="00846F11"/>
    <w:rsid w:val="0084745A"/>
    <w:rsid w:val="00857593"/>
    <w:rsid w:val="00870045"/>
    <w:rsid w:val="00876E5F"/>
    <w:rsid w:val="00877819"/>
    <w:rsid w:val="00881395"/>
    <w:rsid w:val="00884A12"/>
    <w:rsid w:val="00890CE4"/>
    <w:rsid w:val="00891ED7"/>
    <w:rsid w:val="008B7B54"/>
    <w:rsid w:val="008C3187"/>
    <w:rsid w:val="008C5E4F"/>
    <w:rsid w:val="008D3977"/>
    <w:rsid w:val="008D4354"/>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7F4"/>
    <w:rsid w:val="00936FF5"/>
    <w:rsid w:val="00942E08"/>
    <w:rsid w:val="0094654B"/>
    <w:rsid w:val="0095112B"/>
    <w:rsid w:val="00952122"/>
    <w:rsid w:val="0095645E"/>
    <w:rsid w:val="0095712A"/>
    <w:rsid w:val="009576D4"/>
    <w:rsid w:val="00973A6D"/>
    <w:rsid w:val="009804E0"/>
    <w:rsid w:val="00983735"/>
    <w:rsid w:val="009865AA"/>
    <w:rsid w:val="00987080"/>
    <w:rsid w:val="0098765A"/>
    <w:rsid w:val="00987E5B"/>
    <w:rsid w:val="00991620"/>
    <w:rsid w:val="009968B0"/>
    <w:rsid w:val="009A6CB2"/>
    <w:rsid w:val="009B0982"/>
    <w:rsid w:val="009B35AF"/>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20E"/>
    <w:rsid w:val="00A24FBB"/>
    <w:rsid w:val="00A332E8"/>
    <w:rsid w:val="00A3453E"/>
    <w:rsid w:val="00A42ED2"/>
    <w:rsid w:val="00A44B33"/>
    <w:rsid w:val="00A50E00"/>
    <w:rsid w:val="00A52529"/>
    <w:rsid w:val="00A53624"/>
    <w:rsid w:val="00A55EAF"/>
    <w:rsid w:val="00A5766B"/>
    <w:rsid w:val="00A77512"/>
    <w:rsid w:val="00A80C85"/>
    <w:rsid w:val="00A863E3"/>
    <w:rsid w:val="00A94161"/>
    <w:rsid w:val="00A97BFB"/>
    <w:rsid w:val="00AB0BBC"/>
    <w:rsid w:val="00AB3A92"/>
    <w:rsid w:val="00AB478B"/>
    <w:rsid w:val="00AB47AC"/>
    <w:rsid w:val="00AB4AD9"/>
    <w:rsid w:val="00AB6307"/>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1E54"/>
    <w:rsid w:val="00B92735"/>
    <w:rsid w:val="00B94B10"/>
    <w:rsid w:val="00B969ED"/>
    <w:rsid w:val="00BA77F1"/>
    <w:rsid w:val="00BB0D90"/>
    <w:rsid w:val="00BB3B51"/>
    <w:rsid w:val="00BB60C6"/>
    <w:rsid w:val="00BB7984"/>
    <w:rsid w:val="00BC1F07"/>
    <w:rsid w:val="00BC45F7"/>
    <w:rsid w:val="00BC6A06"/>
    <w:rsid w:val="00BD137C"/>
    <w:rsid w:val="00BE3BC7"/>
    <w:rsid w:val="00BF0C5F"/>
    <w:rsid w:val="00BF1AB7"/>
    <w:rsid w:val="00BF5FF0"/>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E1236"/>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D63E2"/>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473B6"/>
    <w:rsid w:val="00F52E57"/>
    <w:rsid w:val="00F53E06"/>
    <w:rsid w:val="00F54188"/>
    <w:rsid w:val="00F54CC0"/>
    <w:rsid w:val="00F727A5"/>
    <w:rsid w:val="00F847A9"/>
    <w:rsid w:val="00FA5FE9"/>
    <w:rsid w:val="00FA67D2"/>
    <w:rsid w:val="00FB1990"/>
    <w:rsid w:val="00FB302F"/>
    <w:rsid w:val="00FB5A07"/>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3F6C9F"/>
  <w15:docId w15:val="{5F571D0A-8314-4232-987C-C035C55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TableParagraph">
    <w:name w:val="Table Paragraph"/>
    <w:basedOn w:val="Normal"/>
    <w:uiPriority w:val="1"/>
    <w:qFormat/>
    <w:rsid w:val="00DD63E2"/>
    <w:pPr>
      <w:widowControl w:val="0"/>
      <w:spacing w:before="38" w:after="0"/>
      <w:ind w:left="458"/>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64846">
      <w:bodyDiv w:val="1"/>
      <w:marLeft w:val="0"/>
      <w:marRight w:val="0"/>
      <w:marTop w:val="0"/>
      <w:marBottom w:val="0"/>
      <w:divBdr>
        <w:top w:val="none" w:sz="0" w:space="0" w:color="auto"/>
        <w:left w:val="none" w:sz="0" w:space="0" w:color="auto"/>
        <w:bottom w:val="none" w:sz="0" w:space="0" w:color="auto"/>
        <w:right w:val="none" w:sz="0" w:space="0" w:color="auto"/>
      </w:divBdr>
    </w:div>
    <w:div w:id="384959519">
      <w:bodyDiv w:val="1"/>
      <w:marLeft w:val="0"/>
      <w:marRight w:val="0"/>
      <w:marTop w:val="0"/>
      <w:marBottom w:val="0"/>
      <w:divBdr>
        <w:top w:val="none" w:sz="0" w:space="0" w:color="auto"/>
        <w:left w:val="none" w:sz="0" w:space="0" w:color="auto"/>
        <w:bottom w:val="none" w:sz="0" w:space="0" w:color="auto"/>
        <w:right w:val="none" w:sz="0" w:space="0" w:color="auto"/>
      </w:divBdr>
    </w:div>
    <w:div w:id="861437750">
      <w:bodyDiv w:val="1"/>
      <w:marLeft w:val="0"/>
      <w:marRight w:val="0"/>
      <w:marTop w:val="0"/>
      <w:marBottom w:val="0"/>
      <w:divBdr>
        <w:top w:val="none" w:sz="0" w:space="0" w:color="auto"/>
        <w:left w:val="none" w:sz="0" w:space="0" w:color="auto"/>
        <w:bottom w:val="none" w:sz="0" w:space="0" w:color="auto"/>
        <w:right w:val="none" w:sz="0" w:space="0" w:color="auto"/>
      </w:divBdr>
    </w:div>
    <w:div w:id="1196381663">
      <w:bodyDiv w:val="1"/>
      <w:marLeft w:val="0"/>
      <w:marRight w:val="0"/>
      <w:marTop w:val="0"/>
      <w:marBottom w:val="0"/>
      <w:divBdr>
        <w:top w:val="none" w:sz="0" w:space="0" w:color="auto"/>
        <w:left w:val="none" w:sz="0" w:space="0" w:color="auto"/>
        <w:bottom w:val="none" w:sz="0" w:space="0" w:color="auto"/>
        <w:right w:val="none" w:sz="0" w:space="0" w:color="auto"/>
      </w:divBdr>
    </w:div>
    <w:div w:id="1964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Specialist_v7/$file/DIA_Profile_Specialist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61B3-698C-4AF5-BB82-5CB71D15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 JD</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 Vaughan</dc:creator>
  <cp:lastModifiedBy>Nicole McKirdy</cp:lastModifiedBy>
  <cp:revision>2</cp:revision>
  <cp:lastPrinted>2020-01-20T23:54:00Z</cp:lastPrinted>
  <dcterms:created xsi:type="dcterms:W3CDTF">2020-02-25T19:46:00Z</dcterms:created>
  <dcterms:modified xsi:type="dcterms:W3CDTF">2020-02-25T19:46:00Z</dcterms:modified>
</cp:coreProperties>
</file>